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5FCB09" w14:textId="77777777" w:rsidR="00DD55EC" w:rsidRPr="00B63E94" w:rsidRDefault="005D3860" w:rsidP="00283D6C">
      <w:pPr>
        <w:pStyle w:val="Heading1"/>
      </w:pPr>
      <w:proofErr w:type="gramStart"/>
      <w:r w:rsidRPr="00B63E94">
        <w:t>Equal</w:t>
      </w:r>
      <w:r w:rsidR="000F6787" w:rsidRPr="00B63E94">
        <w:t xml:space="preserve">ity of </w:t>
      </w:r>
      <w:r w:rsidR="000F6787" w:rsidRPr="00283D6C">
        <w:t>opportunity</w:t>
      </w:r>
      <w:r w:rsidR="000F6787" w:rsidRPr="00B63E94">
        <w:t xml:space="preserve"> in employment?</w:t>
      </w:r>
      <w:proofErr w:type="gramEnd"/>
      <w:r w:rsidR="000F6787" w:rsidRPr="00B63E94">
        <w:t xml:space="preserve"> Disability rights and active labour market policies</w:t>
      </w:r>
    </w:p>
    <w:p w14:paraId="21FCDE68" w14:textId="77777777" w:rsidR="001F464D" w:rsidRPr="00B63E94" w:rsidRDefault="001F464D" w:rsidP="00F22086">
      <w:pPr>
        <w:jc w:val="both"/>
        <w:rPr>
          <w:rFonts w:ascii="Times New Roman" w:hAnsi="Times New Roman" w:cs="Times New Roman"/>
          <w:sz w:val="24"/>
          <w:szCs w:val="24"/>
        </w:rPr>
      </w:pPr>
    </w:p>
    <w:p w14:paraId="7CECEFDA" w14:textId="77777777" w:rsidR="000F6787" w:rsidRPr="00B63E94" w:rsidRDefault="000F6787" w:rsidP="00F22086">
      <w:pPr>
        <w:spacing w:line="360" w:lineRule="auto"/>
        <w:jc w:val="both"/>
        <w:rPr>
          <w:rFonts w:ascii="Times New Roman" w:hAnsi="Times New Roman" w:cs="Times New Roman"/>
          <w:b/>
          <w:bCs/>
          <w:sz w:val="24"/>
          <w:szCs w:val="24"/>
        </w:rPr>
      </w:pPr>
      <w:r w:rsidRPr="00B63E94">
        <w:rPr>
          <w:rFonts w:ascii="Times New Roman" w:hAnsi="Times New Roman" w:cs="Times New Roman"/>
          <w:b/>
          <w:bCs/>
          <w:sz w:val="24"/>
          <w:szCs w:val="24"/>
        </w:rPr>
        <w:t>Betul Yalcin, Doctoral Candidate in the School of Sociology and Social Policy, University of Leeds (UK)</w:t>
      </w:r>
    </w:p>
    <w:p w14:paraId="28BA879E" w14:textId="77777777" w:rsidR="005D3860" w:rsidRPr="00B63E94" w:rsidRDefault="005D3860" w:rsidP="00F22086">
      <w:pPr>
        <w:spacing w:line="360" w:lineRule="auto"/>
        <w:jc w:val="both"/>
        <w:rPr>
          <w:rFonts w:ascii="Times New Roman" w:hAnsi="Times New Roman" w:cs="Times New Roman"/>
          <w:b/>
          <w:bCs/>
          <w:sz w:val="24"/>
          <w:szCs w:val="24"/>
        </w:rPr>
      </w:pPr>
      <w:r w:rsidRPr="00B63E94">
        <w:rPr>
          <w:rFonts w:ascii="Times New Roman" w:hAnsi="Times New Roman" w:cs="Times New Roman"/>
          <w:b/>
          <w:bCs/>
          <w:sz w:val="24"/>
          <w:szCs w:val="24"/>
        </w:rPr>
        <w:t>Lisa Waddington, European Disability Forum Chair on European Disability Law, Maastricht University (NL)</w:t>
      </w:r>
    </w:p>
    <w:p w14:paraId="16F170F9" w14:textId="77777777" w:rsidR="000F6787" w:rsidRPr="00B63E94" w:rsidRDefault="000F6787" w:rsidP="00F22086">
      <w:pPr>
        <w:spacing w:line="360" w:lineRule="auto"/>
        <w:jc w:val="both"/>
        <w:rPr>
          <w:rFonts w:ascii="Times New Roman" w:hAnsi="Times New Roman" w:cs="Times New Roman"/>
          <w:b/>
          <w:bCs/>
          <w:sz w:val="24"/>
          <w:szCs w:val="24"/>
        </w:rPr>
      </w:pPr>
      <w:r w:rsidRPr="00B63E94">
        <w:rPr>
          <w:rFonts w:ascii="Times New Roman" w:hAnsi="Times New Roman" w:cs="Times New Roman"/>
          <w:b/>
          <w:bCs/>
          <w:sz w:val="24"/>
          <w:szCs w:val="24"/>
        </w:rPr>
        <w:t>Mark Priestley, Professor of Disability Policy, University of Leeds (UK)</w:t>
      </w:r>
    </w:p>
    <w:p w14:paraId="4787B941" w14:textId="64C1E4A9" w:rsidR="00496641" w:rsidRPr="00B63E94" w:rsidRDefault="00496641" w:rsidP="00F22086">
      <w:pPr>
        <w:spacing w:line="360" w:lineRule="auto"/>
        <w:jc w:val="both"/>
        <w:rPr>
          <w:rFonts w:ascii="Times New Roman" w:hAnsi="Times New Roman" w:cs="Times New Roman"/>
          <w:sz w:val="24"/>
          <w:szCs w:val="24"/>
        </w:rPr>
      </w:pPr>
      <w:r w:rsidRPr="00B63E94">
        <w:rPr>
          <w:rFonts w:ascii="Times New Roman" w:hAnsi="Times New Roman" w:cs="Times New Roman"/>
          <w:sz w:val="24"/>
          <w:szCs w:val="24"/>
        </w:rPr>
        <w:t>The past 50 years have seen significant change with regard to understanding disability</w:t>
      </w:r>
      <w:r w:rsidR="00C74C15" w:rsidRPr="00B63E94">
        <w:rPr>
          <w:rFonts w:ascii="Times New Roman" w:hAnsi="Times New Roman" w:cs="Times New Roman"/>
          <w:sz w:val="24"/>
          <w:szCs w:val="24"/>
        </w:rPr>
        <w:t xml:space="preserve"> as a form of social and economic exclusion</w:t>
      </w:r>
      <w:r w:rsidRPr="00B63E94">
        <w:rPr>
          <w:rFonts w:ascii="Times New Roman" w:hAnsi="Times New Roman" w:cs="Times New Roman"/>
          <w:sz w:val="24"/>
          <w:szCs w:val="24"/>
        </w:rPr>
        <w:t xml:space="preserve"> and, in particular, the role </w:t>
      </w:r>
      <w:r w:rsidR="00C74C15" w:rsidRPr="00B63E94">
        <w:rPr>
          <w:rFonts w:ascii="Times New Roman" w:hAnsi="Times New Roman" w:cs="Times New Roman"/>
          <w:sz w:val="24"/>
          <w:szCs w:val="24"/>
        </w:rPr>
        <w:t>that</w:t>
      </w:r>
      <w:r w:rsidRPr="00B63E94">
        <w:rPr>
          <w:rFonts w:ascii="Times New Roman" w:hAnsi="Times New Roman" w:cs="Times New Roman"/>
          <w:sz w:val="24"/>
          <w:szCs w:val="24"/>
        </w:rPr>
        <w:t xml:space="preserve"> environmental and social </w:t>
      </w:r>
      <w:r w:rsidR="00C74C15" w:rsidRPr="00B63E94">
        <w:rPr>
          <w:rFonts w:ascii="Times New Roman" w:hAnsi="Times New Roman" w:cs="Times New Roman"/>
          <w:sz w:val="24"/>
          <w:szCs w:val="24"/>
        </w:rPr>
        <w:t>barriers</w:t>
      </w:r>
      <w:r w:rsidRPr="00B63E94">
        <w:rPr>
          <w:rFonts w:ascii="Times New Roman" w:hAnsi="Times New Roman" w:cs="Times New Roman"/>
          <w:sz w:val="24"/>
          <w:szCs w:val="24"/>
        </w:rPr>
        <w:t xml:space="preserve"> play in disabling people</w:t>
      </w:r>
      <w:r w:rsidR="00C74C15" w:rsidRPr="00B63E94">
        <w:rPr>
          <w:rFonts w:ascii="Times New Roman" w:hAnsi="Times New Roman" w:cs="Times New Roman"/>
          <w:sz w:val="24"/>
          <w:szCs w:val="24"/>
        </w:rPr>
        <w:t xml:space="preserve"> with impairment</w:t>
      </w:r>
      <w:r w:rsidRPr="00B63E94">
        <w:rPr>
          <w:rFonts w:ascii="Times New Roman" w:hAnsi="Times New Roman" w:cs="Times New Roman"/>
          <w:sz w:val="24"/>
          <w:szCs w:val="24"/>
        </w:rPr>
        <w:t xml:space="preserve"> </w:t>
      </w:r>
      <w:r w:rsidR="00C74C15" w:rsidRPr="00B63E94">
        <w:rPr>
          <w:rFonts w:ascii="Times New Roman" w:hAnsi="Times New Roman" w:cs="Times New Roman"/>
          <w:sz w:val="24"/>
          <w:szCs w:val="24"/>
        </w:rPr>
        <w:t>(as illuminate</w:t>
      </w:r>
      <w:r w:rsidR="004E33DE" w:rsidRPr="00B63E94">
        <w:rPr>
          <w:rFonts w:ascii="Times New Roman" w:hAnsi="Times New Roman" w:cs="Times New Roman"/>
          <w:sz w:val="24"/>
          <w:szCs w:val="24"/>
        </w:rPr>
        <w:t>d</w:t>
      </w:r>
      <w:r w:rsidR="00C74C15" w:rsidRPr="00B63E94">
        <w:rPr>
          <w:rFonts w:ascii="Times New Roman" w:hAnsi="Times New Roman" w:cs="Times New Roman"/>
          <w:sz w:val="24"/>
          <w:szCs w:val="24"/>
        </w:rPr>
        <w:t xml:space="preserve"> in the early chapters in this volume</w:t>
      </w:r>
      <w:r w:rsidRPr="00B63E94">
        <w:rPr>
          <w:rFonts w:ascii="Times New Roman" w:hAnsi="Times New Roman" w:cs="Times New Roman"/>
          <w:sz w:val="24"/>
          <w:szCs w:val="24"/>
        </w:rPr>
        <w:t xml:space="preserve">). This, in turn, has impacted on the response of policy-makers to the challenges </w:t>
      </w:r>
      <w:r w:rsidR="00C74C15" w:rsidRPr="00B63E94">
        <w:rPr>
          <w:rFonts w:ascii="Times New Roman" w:hAnsi="Times New Roman" w:cs="Times New Roman"/>
          <w:sz w:val="24"/>
          <w:szCs w:val="24"/>
        </w:rPr>
        <w:t>that disabled people face</w:t>
      </w:r>
      <w:r w:rsidR="004E33DE" w:rsidRPr="00B63E94">
        <w:rPr>
          <w:rFonts w:ascii="Times New Roman" w:hAnsi="Times New Roman" w:cs="Times New Roman"/>
          <w:sz w:val="24"/>
          <w:szCs w:val="24"/>
        </w:rPr>
        <w:t>,</w:t>
      </w:r>
      <w:r w:rsidR="00C74C15" w:rsidRPr="00B63E94">
        <w:rPr>
          <w:rFonts w:ascii="Times New Roman" w:hAnsi="Times New Roman" w:cs="Times New Roman"/>
          <w:sz w:val="24"/>
          <w:szCs w:val="24"/>
        </w:rPr>
        <w:t xml:space="preserve"> </w:t>
      </w:r>
      <w:r w:rsidR="009F43EB" w:rsidRPr="00B63E94">
        <w:rPr>
          <w:rFonts w:ascii="Times New Roman" w:hAnsi="Times New Roman" w:cs="Times New Roman"/>
          <w:sz w:val="24"/>
          <w:szCs w:val="24"/>
        </w:rPr>
        <w:t xml:space="preserve">including </w:t>
      </w:r>
      <w:r w:rsidR="00C74C15" w:rsidRPr="00B63E94">
        <w:rPr>
          <w:rFonts w:ascii="Times New Roman" w:hAnsi="Times New Roman" w:cs="Times New Roman"/>
          <w:sz w:val="24"/>
          <w:szCs w:val="24"/>
        </w:rPr>
        <w:t xml:space="preserve">the challenge of </w:t>
      </w:r>
      <w:r w:rsidR="009F43EB" w:rsidRPr="00B63E94">
        <w:rPr>
          <w:rFonts w:ascii="Times New Roman" w:hAnsi="Times New Roman" w:cs="Times New Roman"/>
          <w:sz w:val="24"/>
          <w:szCs w:val="24"/>
        </w:rPr>
        <w:t xml:space="preserve">securing </w:t>
      </w:r>
      <w:r w:rsidR="00C74C15" w:rsidRPr="00B63E94">
        <w:rPr>
          <w:rFonts w:ascii="Times New Roman" w:hAnsi="Times New Roman" w:cs="Times New Roman"/>
          <w:sz w:val="24"/>
          <w:szCs w:val="24"/>
        </w:rPr>
        <w:t xml:space="preserve">equality </w:t>
      </w:r>
      <w:r w:rsidR="009F43EB" w:rsidRPr="00B63E94">
        <w:rPr>
          <w:rFonts w:ascii="Times New Roman" w:hAnsi="Times New Roman" w:cs="Times New Roman"/>
          <w:sz w:val="24"/>
          <w:szCs w:val="24"/>
        </w:rPr>
        <w:t xml:space="preserve">of opportunity </w:t>
      </w:r>
      <w:r w:rsidR="00C74C15" w:rsidRPr="00B63E94">
        <w:rPr>
          <w:rFonts w:ascii="Times New Roman" w:hAnsi="Times New Roman" w:cs="Times New Roman"/>
          <w:sz w:val="24"/>
          <w:szCs w:val="24"/>
        </w:rPr>
        <w:t xml:space="preserve">in employment </w:t>
      </w:r>
      <w:r w:rsidR="009F43EB" w:rsidRPr="00B63E94">
        <w:rPr>
          <w:rFonts w:ascii="Times New Roman" w:hAnsi="Times New Roman" w:cs="Times New Roman"/>
          <w:sz w:val="24"/>
          <w:szCs w:val="24"/>
        </w:rPr>
        <w:t>for disabled people</w:t>
      </w:r>
      <w:r w:rsidRPr="00B63E94">
        <w:rPr>
          <w:rFonts w:ascii="Times New Roman" w:hAnsi="Times New Roman" w:cs="Times New Roman"/>
          <w:sz w:val="24"/>
          <w:szCs w:val="24"/>
        </w:rPr>
        <w:t xml:space="preserve">. </w:t>
      </w:r>
      <w:r w:rsidR="005B1E67" w:rsidRPr="00B63E94">
        <w:rPr>
          <w:rFonts w:ascii="Times New Roman" w:hAnsi="Times New Roman" w:cs="Times New Roman"/>
          <w:sz w:val="24"/>
          <w:szCs w:val="24"/>
        </w:rPr>
        <w:t>New ways of conceptualising disability have</w:t>
      </w:r>
      <w:r w:rsidR="00C74C15" w:rsidRPr="00B63E94">
        <w:rPr>
          <w:rFonts w:ascii="Times New Roman" w:hAnsi="Times New Roman" w:cs="Times New Roman"/>
          <w:sz w:val="24"/>
          <w:szCs w:val="24"/>
        </w:rPr>
        <w:t xml:space="preserve"> </w:t>
      </w:r>
      <w:r w:rsidRPr="00B63E94">
        <w:rPr>
          <w:rFonts w:ascii="Times New Roman" w:hAnsi="Times New Roman" w:cs="Times New Roman"/>
          <w:sz w:val="24"/>
          <w:szCs w:val="24"/>
        </w:rPr>
        <w:t xml:space="preserve">led to a reorientation of policies designed to support the employment of </w:t>
      </w:r>
      <w:r w:rsidR="00C74C15" w:rsidRPr="00B63E94">
        <w:rPr>
          <w:rFonts w:ascii="Times New Roman" w:hAnsi="Times New Roman" w:cs="Times New Roman"/>
          <w:sz w:val="24"/>
          <w:szCs w:val="24"/>
        </w:rPr>
        <w:t>disabled people</w:t>
      </w:r>
      <w:r w:rsidRPr="00B63E94">
        <w:rPr>
          <w:rFonts w:ascii="Times New Roman" w:hAnsi="Times New Roman" w:cs="Times New Roman"/>
          <w:sz w:val="24"/>
          <w:szCs w:val="24"/>
        </w:rPr>
        <w:t xml:space="preserve">, </w:t>
      </w:r>
      <w:r w:rsidR="00C74C15" w:rsidRPr="00B63E94">
        <w:rPr>
          <w:rFonts w:ascii="Times New Roman" w:hAnsi="Times New Roman" w:cs="Times New Roman"/>
          <w:sz w:val="24"/>
          <w:szCs w:val="24"/>
        </w:rPr>
        <w:t xml:space="preserve">including the emergence of a more rights-based </w:t>
      </w:r>
      <w:r w:rsidR="004650FE" w:rsidRPr="00B63E94">
        <w:rPr>
          <w:rFonts w:ascii="Times New Roman" w:hAnsi="Times New Roman" w:cs="Times New Roman"/>
          <w:sz w:val="24"/>
          <w:szCs w:val="24"/>
        </w:rPr>
        <w:t>approach</w:t>
      </w:r>
      <w:r w:rsidR="00C74C15" w:rsidRPr="00B63E94">
        <w:rPr>
          <w:rFonts w:ascii="Times New Roman" w:hAnsi="Times New Roman" w:cs="Times New Roman"/>
          <w:sz w:val="24"/>
          <w:szCs w:val="24"/>
        </w:rPr>
        <w:t xml:space="preserve"> </w:t>
      </w:r>
      <w:r w:rsidR="009F43EB" w:rsidRPr="00B63E94">
        <w:rPr>
          <w:rFonts w:ascii="Times New Roman" w:hAnsi="Times New Roman" w:cs="Times New Roman"/>
          <w:sz w:val="24"/>
          <w:szCs w:val="24"/>
        </w:rPr>
        <w:t>designed to combat disability</w:t>
      </w:r>
      <w:r w:rsidR="004E33DE" w:rsidRPr="00B63E94">
        <w:rPr>
          <w:rFonts w:ascii="Times New Roman" w:hAnsi="Times New Roman" w:cs="Times New Roman"/>
          <w:sz w:val="24"/>
          <w:szCs w:val="24"/>
        </w:rPr>
        <w:t xml:space="preserve"> </w:t>
      </w:r>
      <w:r w:rsidR="00C74C15" w:rsidRPr="00B63E94">
        <w:rPr>
          <w:rFonts w:ascii="Times New Roman" w:hAnsi="Times New Roman" w:cs="Times New Roman"/>
          <w:sz w:val="24"/>
          <w:szCs w:val="24"/>
        </w:rPr>
        <w:t>discrimination</w:t>
      </w:r>
      <w:r w:rsidR="004650FE" w:rsidRPr="00B63E94">
        <w:rPr>
          <w:rFonts w:ascii="Times New Roman" w:eastAsia="Times New Roman" w:hAnsi="Times New Roman" w:cs="Times New Roman"/>
          <w:sz w:val="24"/>
          <w:szCs w:val="24"/>
          <w:lang w:val="en-US" w:eastAsia="en-US"/>
        </w:rPr>
        <w:t>.</w:t>
      </w:r>
      <w:r w:rsidR="008C2232" w:rsidRPr="00B63E94">
        <w:rPr>
          <w:rStyle w:val="FootnoteReference"/>
          <w:rFonts w:ascii="Times New Roman" w:eastAsia="Times New Roman" w:hAnsi="Times New Roman" w:cs="Times New Roman"/>
          <w:sz w:val="24"/>
          <w:szCs w:val="24"/>
          <w:lang w:val="en-US" w:eastAsia="en-US"/>
        </w:rPr>
        <w:footnoteReference w:id="1"/>
      </w:r>
      <w:r w:rsidR="001B330F" w:rsidRPr="00B63E94">
        <w:rPr>
          <w:rFonts w:ascii="Times New Roman" w:eastAsia="Times New Roman" w:hAnsi="Times New Roman" w:cs="Times New Roman"/>
          <w:sz w:val="24"/>
          <w:szCs w:val="24"/>
          <w:lang w:val="en-US" w:eastAsia="en-US"/>
        </w:rPr>
        <w:t xml:space="preserve"> </w:t>
      </w:r>
      <w:r w:rsidR="001B330F" w:rsidRPr="00903E9B">
        <w:rPr>
          <w:rFonts w:ascii="Times New Roman" w:eastAsia="Times New Roman" w:hAnsi="Times New Roman" w:cs="Times New Roman"/>
          <w:sz w:val="24"/>
          <w:szCs w:val="24"/>
          <w:lang w:val="en-US" w:eastAsia="en-US"/>
        </w:rPr>
        <w:t xml:space="preserve">At the same time there has been </w:t>
      </w:r>
      <w:r w:rsidR="001B330F" w:rsidRPr="00903E9B">
        <w:rPr>
          <w:rFonts w:ascii="Times New Roman" w:hAnsi="Times New Roman" w:cs="Times New Roman"/>
          <w:sz w:val="24"/>
          <w:szCs w:val="24"/>
        </w:rPr>
        <w:t xml:space="preserve">a move away from segregated active labour market programmes, in the form of sheltered employment institutions, towards inclusive </w:t>
      </w:r>
      <w:bookmarkStart w:id="0" w:name="_GoBack"/>
      <w:bookmarkEnd w:id="0"/>
      <w:r w:rsidR="001B330F" w:rsidRPr="00903E9B">
        <w:rPr>
          <w:rFonts w:ascii="Times New Roman" w:hAnsi="Times New Roman" w:cs="Times New Roman"/>
          <w:sz w:val="24"/>
          <w:szCs w:val="24"/>
        </w:rPr>
        <w:t>active labour market policies t</w:t>
      </w:r>
      <w:r w:rsidR="00926B96" w:rsidRPr="00903E9B">
        <w:rPr>
          <w:rFonts w:ascii="Times New Roman" w:hAnsi="Times New Roman" w:cs="Times New Roman"/>
          <w:sz w:val="24"/>
          <w:szCs w:val="24"/>
        </w:rPr>
        <w:t>hat</w:t>
      </w:r>
      <w:r w:rsidR="001B330F" w:rsidRPr="00903E9B">
        <w:rPr>
          <w:rFonts w:ascii="Times New Roman" w:hAnsi="Times New Roman" w:cs="Times New Roman"/>
          <w:sz w:val="24"/>
          <w:szCs w:val="24"/>
        </w:rPr>
        <w:t xml:space="preserve"> facilitate greater integration of disabled people in the open labour market</w:t>
      </w:r>
      <w:r w:rsidR="004650FE" w:rsidRPr="00B63E94">
        <w:rPr>
          <w:rFonts w:ascii="Times New Roman" w:eastAsia="Times New Roman" w:hAnsi="Times New Roman" w:cs="Times New Roman"/>
          <w:sz w:val="24"/>
          <w:szCs w:val="24"/>
          <w:lang w:val="en-US" w:eastAsia="en-US"/>
        </w:rPr>
        <w:t xml:space="preserve"> </w:t>
      </w:r>
      <w:r w:rsidR="005B1E67" w:rsidRPr="00B63E94">
        <w:rPr>
          <w:rFonts w:ascii="Times New Roman" w:hAnsi="Times New Roman" w:cs="Times New Roman"/>
          <w:sz w:val="24"/>
          <w:szCs w:val="24"/>
        </w:rPr>
        <w:t>Such</w:t>
      </w:r>
      <w:r w:rsidR="009F43EB" w:rsidRPr="00B63E94">
        <w:rPr>
          <w:rFonts w:ascii="Times New Roman" w:hAnsi="Times New Roman" w:cs="Times New Roman"/>
          <w:sz w:val="24"/>
          <w:szCs w:val="24"/>
        </w:rPr>
        <w:t xml:space="preserve"> policies</w:t>
      </w:r>
      <w:r w:rsidRPr="00B63E94">
        <w:rPr>
          <w:rFonts w:ascii="Times New Roman" w:hAnsi="Times New Roman" w:cs="Times New Roman"/>
          <w:sz w:val="24"/>
          <w:szCs w:val="24"/>
        </w:rPr>
        <w:t xml:space="preserve"> include</w:t>
      </w:r>
      <w:r w:rsidR="009F43EB" w:rsidRPr="00B63E94">
        <w:rPr>
          <w:rFonts w:ascii="Times New Roman" w:hAnsi="Times New Roman" w:cs="Times New Roman"/>
          <w:sz w:val="24"/>
          <w:szCs w:val="24"/>
        </w:rPr>
        <w:t>d</w:t>
      </w:r>
      <w:r w:rsidRPr="00B63E94">
        <w:rPr>
          <w:rFonts w:ascii="Times New Roman" w:hAnsi="Times New Roman" w:cs="Times New Roman"/>
          <w:sz w:val="24"/>
          <w:szCs w:val="24"/>
        </w:rPr>
        <w:t xml:space="preserve"> both push and pull mechanisms, focusing, respectively, on equipping disabled people for employment </w:t>
      </w:r>
      <w:r w:rsidR="00C74C15" w:rsidRPr="00B63E94">
        <w:rPr>
          <w:rFonts w:ascii="Times New Roman" w:hAnsi="Times New Roman" w:cs="Times New Roman"/>
          <w:sz w:val="24"/>
          <w:szCs w:val="24"/>
        </w:rPr>
        <w:t xml:space="preserve">opportunities </w:t>
      </w:r>
      <w:r w:rsidRPr="00B63E94">
        <w:rPr>
          <w:rFonts w:ascii="Times New Roman" w:hAnsi="Times New Roman" w:cs="Times New Roman"/>
          <w:sz w:val="24"/>
          <w:szCs w:val="24"/>
        </w:rPr>
        <w:t xml:space="preserve">in the open labour market and encouraging or obliging employers to take </w:t>
      </w:r>
      <w:r w:rsidR="00C74C15" w:rsidRPr="00B63E94">
        <w:rPr>
          <w:rFonts w:ascii="Times New Roman" w:hAnsi="Times New Roman" w:cs="Times New Roman"/>
          <w:sz w:val="24"/>
          <w:szCs w:val="24"/>
        </w:rPr>
        <w:t>them on</w:t>
      </w:r>
      <w:r w:rsidRPr="00B63E94">
        <w:rPr>
          <w:rFonts w:ascii="Times New Roman" w:hAnsi="Times New Roman" w:cs="Times New Roman"/>
          <w:sz w:val="24"/>
          <w:szCs w:val="24"/>
        </w:rPr>
        <w:t xml:space="preserve">. This chapter </w:t>
      </w:r>
      <w:r w:rsidR="00C74C15" w:rsidRPr="00B63E94">
        <w:rPr>
          <w:rFonts w:ascii="Times New Roman" w:hAnsi="Times New Roman" w:cs="Times New Roman"/>
          <w:sz w:val="24"/>
          <w:szCs w:val="24"/>
        </w:rPr>
        <w:t xml:space="preserve">introduces the challenge of </w:t>
      </w:r>
      <w:r w:rsidR="008C2232" w:rsidRPr="00B63E94">
        <w:rPr>
          <w:rFonts w:ascii="Times New Roman" w:hAnsi="Times New Roman" w:cs="Times New Roman"/>
          <w:sz w:val="24"/>
          <w:szCs w:val="24"/>
        </w:rPr>
        <w:t xml:space="preserve">achieving </w:t>
      </w:r>
      <w:r w:rsidR="00C74C15" w:rsidRPr="00B63E94">
        <w:rPr>
          <w:rFonts w:ascii="Times New Roman" w:hAnsi="Times New Roman" w:cs="Times New Roman"/>
          <w:sz w:val="24"/>
          <w:szCs w:val="24"/>
        </w:rPr>
        <w:t xml:space="preserve">full participation and equality in employment </w:t>
      </w:r>
      <w:r w:rsidR="008C2232" w:rsidRPr="00B63E94">
        <w:rPr>
          <w:rFonts w:ascii="Times New Roman" w:hAnsi="Times New Roman" w:cs="Times New Roman"/>
          <w:sz w:val="24"/>
          <w:szCs w:val="24"/>
        </w:rPr>
        <w:t xml:space="preserve">by disabled people </w:t>
      </w:r>
      <w:r w:rsidR="00C74C15" w:rsidRPr="00B63E94">
        <w:rPr>
          <w:rFonts w:ascii="Times New Roman" w:hAnsi="Times New Roman" w:cs="Times New Roman"/>
          <w:sz w:val="24"/>
          <w:szCs w:val="24"/>
        </w:rPr>
        <w:t xml:space="preserve">and examines the different approaches taken in law and policy to address </w:t>
      </w:r>
      <w:r w:rsidR="004E33DE" w:rsidRPr="00B63E94">
        <w:rPr>
          <w:rFonts w:ascii="Times New Roman" w:hAnsi="Times New Roman" w:cs="Times New Roman"/>
          <w:sz w:val="24"/>
          <w:szCs w:val="24"/>
        </w:rPr>
        <w:t>this challenge</w:t>
      </w:r>
      <w:r w:rsidR="00C74C15" w:rsidRPr="00B63E94">
        <w:rPr>
          <w:rFonts w:ascii="Times New Roman" w:hAnsi="Times New Roman" w:cs="Times New Roman"/>
          <w:sz w:val="24"/>
          <w:szCs w:val="24"/>
        </w:rPr>
        <w:t xml:space="preserve">. It shows that while clear and enforceable non-discrimination provisions are </w:t>
      </w:r>
      <w:r w:rsidR="009F43EB" w:rsidRPr="00B63E94">
        <w:rPr>
          <w:rFonts w:ascii="Times New Roman" w:hAnsi="Times New Roman" w:cs="Times New Roman"/>
          <w:sz w:val="24"/>
          <w:szCs w:val="24"/>
        </w:rPr>
        <w:t>a prerequisite</w:t>
      </w:r>
      <w:r w:rsidR="004E33DE" w:rsidRPr="00B63E94">
        <w:rPr>
          <w:rFonts w:ascii="Times New Roman" w:hAnsi="Times New Roman" w:cs="Times New Roman"/>
          <w:sz w:val="24"/>
          <w:szCs w:val="24"/>
        </w:rPr>
        <w:t>,</w:t>
      </w:r>
      <w:r w:rsidR="00C74C15" w:rsidRPr="00B63E94">
        <w:rPr>
          <w:rFonts w:ascii="Times New Roman" w:hAnsi="Times New Roman" w:cs="Times New Roman"/>
          <w:sz w:val="24"/>
          <w:szCs w:val="24"/>
        </w:rPr>
        <w:t xml:space="preserve"> there is also a need for active interventions to counter </w:t>
      </w:r>
      <w:r w:rsidR="005B1E67" w:rsidRPr="00B63E94">
        <w:rPr>
          <w:rFonts w:ascii="Times New Roman" w:hAnsi="Times New Roman" w:cs="Times New Roman"/>
          <w:sz w:val="24"/>
          <w:szCs w:val="24"/>
        </w:rPr>
        <w:t xml:space="preserve">the </w:t>
      </w:r>
      <w:r w:rsidR="00C74C15" w:rsidRPr="00B63E94">
        <w:rPr>
          <w:rFonts w:ascii="Times New Roman" w:hAnsi="Times New Roman" w:cs="Times New Roman"/>
          <w:sz w:val="24"/>
          <w:szCs w:val="24"/>
        </w:rPr>
        <w:t xml:space="preserve">unequal </w:t>
      </w:r>
      <w:r w:rsidR="004E33DE" w:rsidRPr="00B63E94">
        <w:rPr>
          <w:rFonts w:ascii="Times New Roman" w:hAnsi="Times New Roman" w:cs="Times New Roman"/>
          <w:sz w:val="24"/>
          <w:szCs w:val="24"/>
        </w:rPr>
        <w:t xml:space="preserve">employment </w:t>
      </w:r>
      <w:r w:rsidR="00C74C15" w:rsidRPr="00B63E94">
        <w:rPr>
          <w:rFonts w:ascii="Times New Roman" w:hAnsi="Times New Roman" w:cs="Times New Roman"/>
          <w:sz w:val="24"/>
          <w:szCs w:val="24"/>
        </w:rPr>
        <w:t>opportunities</w:t>
      </w:r>
      <w:r w:rsidR="009F43EB" w:rsidRPr="00B63E94">
        <w:rPr>
          <w:rFonts w:ascii="Times New Roman" w:hAnsi="Times New Roman" w:cs="Times New Roman"/>
          <w:sz w:val="24"/>
          <w:szCs w:val="24"/>
        </w:rPr>
        <w:t xml:space="preserve"> faced by disabled people</w:t>
      </w:r>
      <w:r w:rsidR="00C74C15" w:rsidRPr="00B63E94">
        <w:rPr>
          <w:rFonts w:ascii="Times New Roman" w:hAnsi="Times New Roman" w:cs="Times New Roman"/>
          <w:sz w:val="24"/>
          <w:szCs w:val="24"/>
        </w:rPr>
        <w:t xml:space="preserve"> and to structure the labour market accordingly.</w:t>
      </w:r>
    </w:p>
    <w:p w14:paraId="3CDAC050" w14:textId="77777777" w:rsidR="00D9083C" w:rsidRPr="00B63E94" w:rsidRDefault="00D9083C" w:rsidP="00283D6C">
      <w:pPr>
        <w:pStyle w:val="Heading2"/>
      </w:pPr>
      <w:r w:rsidRPr="00B63E94">
        <w:lastRenderedPageBreak/>
        <w:t xml:space="preserve">Employment as a </w:t>
      </w:r>
      <w:r w:rsidRPr="00283D6C">
        <w:t>right</w:t>
      </w:r>
    </w:p>
    <w:p w14:paraId="2F10A4C4" w14:textId="04CCB773" w:rsidR="003A4ADB" w:rsidRPr="00B63E94" w:rsidRDefault="003A4ADB" w:rsidP="00F22086">
      <w:pPr>
        <w:spacing w:line="360" w:lineRule="auto"/>
        <w:jc w:val="both"/>
        <w:rPr>
          <w:rFonts w:ascii="Times New Roman" w:hAnsi="Times New Roman" w:cs="Times New Roman"/>
          <w:sz w:val="24"/>
          <w:szCs w:val="24"/>
        </w:rPr>
      </w:pPr>
      <w:r w:rsidRPr="00B63E94">
        <w:rPr>
          <w:rFonts w:ascii="Times New Roman" w:hAnsi="Times New Roman" w:cs="Times New Roman"/>
          <w:sz w:val="24"/>
          <w:szCs w:val="24"/>
        </w:rPr>
        <w:t xml:space="preserve">The International Labour Organisation (ILO) estimate that </w:t>
      </w:r>
      <w:r w:rsidR="00D91080" w:rsidRPr="00B63E94">
        <w:rPr>
          <w:rFonts w:ascii="Times New Roman" w:hAnsi="Times New Roman" w:cs="Times New Roman"/>
          <w:sz w:val="24"/>
          <w:szCs w:val="24"/>
        </w:rPr>
        <w:t xml:space="preserve">a majority of disabled people in the world are of working age – </w:t>
      </w:r>
      <w:r w:rsidRPr="00B63E94">
        <w:rPr>
          <w:rFonts w:ascii="Times New Roman" w:hAnsi="Times New Roman" w:cs="Times New Roman"/>
          <w:sz w:val="24"/>
          <w:szCs w:val="24"/>
        </w:rPr>
        <w:t xml:space="preserve">some </w:t>
      </w:r>
      <w:r w:rsidR="00BF3E52" w:rsidRPr="00B63E94">
        <w:rPr>
          <w:rFonts w:ascii="Times New Roman" w:hAnsi="Times New Roman" w:cs="Times New Roman"/>
          <w:sz w:val="24"/>
          <w:szCs w:val="24"/>
        </w:rPr>
        <w:t xml:space="preserve">470 </w:t>
      </w:r>
      <w:r w:rsidRPr="00B63E94">
        <w:rPr>
          <w:rFonts w:ascii="Times New Roman" w:hAnsi="Times New Roman" w:cs="Times New Roman"/>
          <w:sz w:val="24"/>
          <w:szCs w:val="24"/>
        </w:rPr>
        <w:t xml:space="preserve">million </w:t>
      </w:r>
      <w:r w:rsidR="00D91080" w:rsidRPr="00B63E94">
        <w:rPr>
          <w:rFonts w:ascii="Times New Roman" w:hAnsi="Times New Roman" w:cs="Times New Roman"/>
          <w:sz w:val="24"/>
          <w:szCs w:val="24"/>
        </w:rPr>
        <w:t xml:space="preserve">– </w:t>
      </w:r>
      <w:r w:rsidRPr="00B63E94">
        <w:rPr>
          <w:rFonts w:ascii="Times New Roman" w:hAnsi="Times New Roman" w:cs="Times New Roman"/>
          <w:sz w:val="24"/>
          <w:szCs w:val="24"/>
        </w:rPr>
        <w:t xml:space="preserve">yet the extent of their </w:t>
      </w:r>
      <w:r w:rsidR="00D91080" w:rsidRPr="00B63E94">
        <w:rPr>
          <w:rFonts w:ascii="Times New Roman" w:hAnsi="Times New Roman" w:cs="Times New Roman"/>
          <w:sz w:val="24"/>
          <w:szCs w:val="24"/>
        </w:rPr>
        <w:t xml:space="preserve">collective </w:t>
      </w:r>
      <w:r w:rsidRPr="00B63E94">
        <w:rPr>
          <w:rFonts w:ascii="Times New Roman" w:hAnsi="Times New Roman" w:cs="Times New Roman"/>
          <w:sz w:val="24"/>
          <w:szCs w:val="24"/>
        </w:rPr>
        <w:t xml:space="preserve">exclusion from </w:t>
      </w:r>
      <w:r w:rsidR="00D91080" w:rsidRPr="00B63E94">
        <w:rPr>
          <w:rFonts w:ascii="Times New Roman" w:hAnsi="Times New Roman" w:cs="Times New Roman"/>
          <w:sz w:val="24"/>
          <w:szCs w:val="24"/>
        </w:rPr>
        <w:t xml:space="preserve">full </w:t>
      </w:r>
      <w:r w:rsidRPr="00B63E94">
        <w:rPr>
          <w:rFonts w:ascii="Times New Roman" w:hAnsi="Times New Roman" w:cs="Times New Roman"/>
          <w:sz w:val="24"/>
          <w:szCs w:val="24"/>
        </w:rPr>
        <w:t>participation</w:t>
      </w:r>
      <w:r w:rsidR="00D91080" w:rsidRPr="00B63E94">
        <w:rPr>
          <w:rFonts w:ascii="Times New Roman" w:hAnsi="Times New Roman" w:cs="Times New Roman"/>
          <w:sz w:val="24"/>
          <w:szCs w:val="24"/>
        </w:rPr>
        <w:t xml:space="preserve"> and equality</w:t>
      </w:r>
      <w:r w:rsidRPr="00B63E94">
        <w:rPr>
          <w:rFonts w:ascii="Times New Roman" w:hAnsi="Times New Roman" w:cs="Times New Roman"/>
          <w:sz w:val="24"/>
          <w:szCs w:val="24"/>
        </w:rPr>
        <w:t xml:space="preserve"> in employment is marked.</w:t>
      </w:r>
      <w:r w:rsidR="00BF3E52" w:rsidRPr="00B63E94">
        <w:rPr>
          <w:rStyle w:val="FootnoteReference"/>
          <w:rFonts w:ascii="Times New Roman" w:hAnsi="Times New Roman" w:cs="Times New Roman"/>
          <w:sz w:val="24"/>
          <w:szCs w:val="24"/>
        </w:rPr>
        <w:t xml:space="preserve"> </w:t>
      </w:r>
      <w:r w:rsidR="00BF3E52" w:rsidRPr="00B63E94">
        <w:rPr>
          <w:rStyle w:val="FootnoteReference"/>
          <w:rFonts w:ascii="Times New Roman" w:hAnsi="Times New Roman" w:cs="Times New Roman"/>
          <w:sz w:val="24"/>
          <w:szCs w:val="24"/>
        </w:rPr>
        <w:footnoteReference w:id="2"/>
      </w:r>
      <w:r w:rsidRPr="00B63E94">
        <w:rPr>
          <w:rFonts w:ascii="Times New Roman" w:hAnsi="Times New Roman" w:cs="Times New Roman"/>
          <w:sz w:val="24"/>
          <w:szCs w:val="24"/>
        </w:rPr>
        <w:t xml:space="preserve"> </w:t>
      </w:r>
      <w:r w:rsidR="00BF3E52" w:rsidRPr="00B63E94">
        <w:rPr>
          <w:rFonts w:ascii="Times New Roman" w:hAnsi="Times New Roman" w:cs="Times New Roman"/>
          <w:sz w:val="24"/>
          <w:szCs w:val="24"/>
        </w:rPr>
        <w:t xml:space="preserve">Data from around the world show that a large number </w:t>
      </w:r>
      <w:r w:rsidR="004E33DE" w:rsidRPr="00B63E94">
        <w:rPr>
          <w:rFonts w:ascii="Times New Roman" w:hAnsi="Times New Roman" w:cs="Times New Roman"/>
          <w:sz w:val="24"/>
          <w:szCs w:val="24"/>
        </w:rPr>
        <w:t xml:space="preserve">of disabled people </w:t>
      </w:r>
      <w:r w:rsidR="00BF3E52" w:rsidRPr="00B63E94">
        <w:rPr>
          <w:rFonts w:ascii="Times New Roman" w:hAnsi="Times New Roman" w:cs="Times New Roman"/>
          <w:sz w:val="24"/>
          <w:szCs w:val="24"/>
        </w:rPr>
        <w:t xml:space="preserve">remain </w:t>
      </w:r>
      <w:r w:rsidR="00D91080" w:rsidRPr="00B63E94">
        <w:rPr>
          <w:rFonts w:ascii="Times New Roman" w:hAnsi="Times New Roman" w:cs="Times New Roman"/>
          <w:sz w:val="24"/>
          <w:szCs w:val="24"/>
        </w:rPr>
        <w:t xml:space="preserve">unemployed or economically inactive, </w:t>
      </w:r>
      <w:r w:rsidR="00BF3E52" w:rsidRPr="00B63E94">
        <w:rPr>
          <w:rFonts w:ascii="Times New Roman" w:hAnsi="Times New Roman" w:cs="Times New Roman"/>
          <w:sz w:val="24"/>
          <w:szCs w:val="24"/>
        </w:rPr>
        <w:t xml:space="preserve">more than 80 per cent in some countries, </w:t>
      </w:r>
      <w:r w:rsidR="00D91080" w:rsidRPr="00B63E94">
        <w:rPr>
          <w:rFonts w:ascii="Times New Roman" w:hAnsi="Times New Roman" w:cs="Times New Roman"/>
          <w:sz w:val="24"/>
          <w:szCs w:val="24"/>
        </w:rPr>
        <w:t xml:space="preserve">and even in </w:t>
      </w:r>
      <w:r w:rsidR="009F43EB" w:rsidRPr="00B63E94">
        <w:rPr>
          <w:rFonts w:ascii="Times New Roman" w:hAnsi="Times New Roman" w:cs="Times New Roman"/>
          <w:sz w:val="24"/>
          <w:szCs w:val="24"/>
        </w:rPr>
        <w:t>economically developed</w:t>
      </w:r>
      <w:r w:rsidR="00D91080" w:rsidRPr="00B63E94">
        <w:rPr>
          <w:rFonts w:ascii="Times New Roman" w:hAnsi="Times New Roman" w:cs="Times New Roman"/>
          <w:sz w:val="24"/>
          <w:szCs w:val="24"/>
        </w:rPr>
        <w:t xml:space="preserve"> countries a substantial proportion </w:t>
      </w:r>
      <w:r w:rsidR="004E33DE" w:rsidRPr="00B63E94">
        <w:rPr>
          <w:rFonts w:ascii="Times New Roman" w:hAnsi="Times New Roman" w:cs="Times New Roman"/>
          <w:sz w:val="24"/>
          <w:szCs w:val="24"/>
        </w:rPr>
        <w:t xml:space="preserve">of this group </w:t>
      </w:r>
      <w:r w:rsidR="00D91080" w:rsidRPr="00B63E94">
        <w:rPr>
          <w:rFonts w:ascii="Times New Roman" w:hAnsi="Times New Roman" w:cs="Times New Roman"/>
          <w:sz w:val="24"/>
          <w:szCs w:val="24"/>
        </w:rPr>
        <w:t>remain without work</w:t>
      </w:r>
      <w:r w:rsidRPr="00B63E94">
        <w:rPr>
          <w:rFonts w:ascii="Times New Roman" w:hAnsi="Times New Roman" w:cs="Times New Roman"/>
          <w:sz w:val="24"/>
          <w:szCs w:val="24"/>
        </w:rPr>
        <w:t>.</w:t>
      </w:r>
      <w:r w:rsidR="00BF3E52" w:rsidRPr="00B63E94">
        <w:rPr>
          <w:rStyle w:val="FootnoteReference"/>
          <w:rFonts w:ascii="Times New Roman" w:hAnsi="Times New Roman" w:cs="Times New Roman"/>
          <w:sz w:val="24"/>
          <w:szCs w:val="24"/>
        </w:rPr>
        <w:footnoteReference w:id="3"/>
      </w:r>
      <w:r w:rsidRPr="00B63E94">
        <w:rPr>
          <w:rFonts w:ascii="Times New Roman" w:hAnsi="Times New Roman" w:cs="Times New Roman"/>
          <w:sz w:val="24"/>
          <w:szCs w:val="24"/>
        </w:rPr>
        <w:t xml:space="preserve"> Unequal access to education and training, negative attitudes of employers</w:t>
      </w:r>
      <w:r w:rsidR="00D91080" w:rsidRPr="00B63E94">
        <w:rPr>
          <w:rFonts w:ascii="Times New Roman" w:hAnsi="Times New Roman" w:cs="Times New Roman"/>
          <w:sz w:val="24"/>
          <w:szCs w:val="24"/>
        </w:rPr>
        <w:t xml:space="preserve"> and colleagues</w:t>
      </w:r>
      <w:r w:rsidRPr="00B63E94">
        <w:rPr>
          <w:rFonts w:ascii="Times New Roman" w:hAnsi="Times New Roman" w:cs="Times New Roman"/>
          <w:sz w:val="24"/>
          <w:szCs w:val="24"/>
        </w:rPr>
        <w:t>, inaccessible transport systems and workplace</w:t>
      </w:r>
      <w:r w:rsidR="00D91080" w:rsidRPr="00B63E94">
        <w:rPr>
          <w:rFonts w:ascii="Times New Roman" w:hAnsi="Times New Roman" w:cs="Times New Roman"/>
          <w:sz w:val="24"/>
          <w:szCs w:val="24"/>
        </w:rPr>
        <w:t>s</w:t>
      </w:r>
      <w:r w:rsidRPr="00B63E94">
        <w:rPr>
          <w:rFonts w:ascii="Times New Roman" w:hAnsi="Times New Roman" w:cs="Times New Roman"/>
          <w:sz w:val="24"/>
          <w:szCs w:val="24"/>
        </w:rPr>
        <w:t xml:space="preserve"> and a lack of flexible </w:t>
      </w:r>
      <w:r w:rsidR="00D91080" w:rsidRPr="00B63E94">
        <w:rPr>
          <w:rFonts w:ascii="Times New Roman" w:hAnsi="Times New Roman" w:cs="Times New Roman"/>
          <w:sz w:val="24"/>
          <w:szCs w:val="24"/>
        </w:rPr>
        <w:t xml:space="preserve">work </w:t>
      </w:r>
      <w:r w:rsidRPr="00B63E94">
        <w:rPr>
          <w:rFonts w:ascii="Times New Roman" w:hAnsi="Times New Roman" w:cs="Times New Roman"/>
          <w:sz w:val="24"/>
          <w:szCs w:val="24"/>
        </w:rPr>
        <w:t xml:space="preserve">practices and </w:t>
      </w:r>
      <w:r w:rsidR="00D91080" w:rsidRPr="00B63E94">
        <w:rPr>
          <w:rFonts w:ascii="Times New Roman" w:hAnsi="Times New Roman" w:cs="Times New Roman"/>
          <w:sz w:val="24"/>
          <w:szCs w:val="24"/>
        </w:rPr>
        <w:t xml:space="preserve">employment </w:t>
      </w:r>
      <w:r w:rsidRPr="00B63E94">
        <w:rPr>
          <w:rFonts w:ascii="Times New Roman" w:hAnsi="Times New Roman" w:cs="Times New Roman"/>
          <w:sz w:val="24"/>
          <w:szCs w:val="24"/>
        </w:rPr>
        <w:t>support schemes present significant barriers to equality of opportunity</w:t>
      </w:r>
      <w:r w:rsidR="004E33DE" w:rsidRPr="00B63E94">
        <w:rPr>
          <w:rFonts w:ascii="Times New Roman" w:hAnsi="Times New Roman" w:cs="Times New Roman"/>
          <w:sz w:val="24"/>
          <w:szCs w:val="24"/>
        </w:rPr>
        <w:t xml:space="preserve"> in the labour market</w:t>
      </w:r>
      <w:r w:rsidR="009F43EB" w:rsidRPr="00B63E94">
        <w:rPr>
          <w:rFonts w:ascii="Times New Roman" w:hAnsi="Times New Roman" w:cs="Times New Roman"/>
          <w:sz w:val="24"/>
          <w:szCs w:val="24"/>
        </w:rPr>
        <w:t xml:space="preserve"> for disabled people</w:t>
      </w:r>
      <w:r w:rsidRPr="00B63E94">
        <w:rPr>
          <w:rFonts w:ascii="Times New Roman" w:hAnsi="Times New Roman" w:cs="Times New Roman"/>
          <w:sz w:val="24"/>
          <w:szCs w:val="24"/>
        </w:rPr>
        <w:t xml:space="preserve">. The potential for law and policy reform to address </w:t>
      </w:r>
      <w:r w:rsidR="00D91080" w:rsidRPr="00B63E94">
        <w:rPr>
          <w:rFonts w:ascii="Times New Roman" w:hAnsi="Times New Roman" w:cs="Times New Roman"/>
          <w:sz w:val="24"/>
          <w:szCs w:val="24"/>
        </w:rPr>
        <w:t>such</w:t>
      </w:r>
      <w:r w:rsidRPr="00B63E94">
        <w:rPr>
          <w:rFonts w:ascii="Times New Roman" w:hAnsi="Times New Roman" w:cs="Times New Roman"/>
          <w:sz w:val="24"/>
          <w:szCs w:val="24"/>
        </w:rPr>
        <w:t xml:space="preserve"> inequality is contingent not only on framing and enforcing </w:t>
      </w:r>
      <w:r w:rsidR="00F743DA" w:rsidRPr="00B63E94">
        <w:rPr>
          <w:rFonts w:ascii="Times New Roman" w:hAnsi="Times New Roman" w:cs="Times New Roman"/>
          <w:sz w:val="24"/>
          <w:szCs w:val="24"/>
        </w:rPr>
        <w:t>(</w:t>
      </w:r>
      <w:r w:rsidR="008B5F54" w:rsidRPr="00B63E94">
        <w:rPr>
          <w:rFonts w:ascii="Times New Roman" w:hAnsi="Times New Roman" w:cs="Times New Roman"/>
          <w:sz w:val="24"/>
          <w:szCs w:val="24"/>
        </w:rPr>
        <w:t>new</w:t>
      </w:r>
      <w:r w:rsidR="00F743DA" w:rsidRPr="00B63E94">
        <w:rPr>
          <w:rFonts w:ascii="Times New Roman" w:hAnsi="Times New Roman" w:cs="Times New Roman"/>
          <w:sz w:val="24"/>
          <w:szCs w:val="24"/>
        </w:rPr>
        <w:t>)</w:t>
      </w:r>
      <w:r w:rsidR="008B5F54" w:rsidRPr="00B63E94">
        <w:rPr>
          <w:rFonts w:ascii="Times New Roman" w:hAnsi="Times New Roman" w:cs="Times New Roman"/>
          <w:sz w:val="24"/>
          <w:szCs w:val="24"/>
        </w:rPr>
        <w:t xml:space="preserve"> </w:t>
      </w:r>
      <w:r w:rsidRPr="00B63E94">
        <w:rPr>
          <w:rFonts w:ascii="Times New Roman" w:hAnsi="Times New Roman" w:cs="Times New Roman"/>
          <w:sz w:val="24"/>
          <w:szCs w:val="24"/>
        </w:rPr>
        <w:t>legislation</w:t>
      </w:r>
      <w:r w:rsidR="004E33DE" w:rsidRPr="00B63E94">
        <w:rPr>
          <w:rFonts w:ascii="Times New Roman" w:hAnsi="Times New Roman" w:cs="Times New Roman"/>
          <w:sz w:val="24"/>
          <w:szCs w:val="24"/>
        </w:rPr>
        <w:t>,</w:t>
      </w:r>
      <w:r w:rsidRPr="00B63E94">
        <w:rPr>
          <w:rFonts w:ascii="Times New Roman" w:hAnsi="Times New Roman" w:cs="Times New Roman"/>
          <w:sz w:val="24"/>
          <w:szCs w:val="24"/>
        </w:rPr>
        <w:t xml:space="preserve"> but on understanding the social causes and consequences of labour market marginalisation.</w:t>
      </w:r>
    </w:p>
    <w:p w14:paraId="2C8DB5AB" w14:textId="77777777" w:rsidR="00E523F8" w:rsidRPr="00B63E94" w:rsidRDefault="003A4ADB" w:rsidP="00F22086">
      <w:pPr>
        <w:spacing w:line="360" w:lineRule="auto"/>
        <w:jc w:val="both"/>
        <w:rPr>
          <w:rFonts w:ascii="Times New Roman" w:hAnsi="Times New Roman" w:cs="Times New Roman"/>
          <w:sz w:val="24"/>
          <w:szCs w:val="24"/>
        </w:rPr>
      </w:pPr>
      <w:r w:rsidRPr="00B63E94">
        <w:rPr>
          <w:rFonts w:ascii="Times New Roman" w:hAnsi="Times New Roman" w:cs="Times New Roman"/>
          <w:sz w:val="24"/>
          <w:szCs w:val="24"/>
        </w:rPr>
        <w:t>In this context</w:t>
      </w:r>
      <w:r w:rsidR="00D91080" w:rsidRPr="00B63E94">
        <w:rPr>
          <w:rFonts w:ascii="Times New Roman" w:hAnsi="Times New Roman" w:cs="Times New Roman"/>
          <w:sz w:val="24"/>
          <w:szCs w:val="24"/>
        </w:rPr>
        <w:t>,</w:t>
      </w:r>
      <w:r w:rsidRPr="00B63E94">
        <w:rPr>
          <w:rFonts w:ascii="Times New Roman" w:hAnsi="Times New Roman" w:cs="Times New Roman"/>
          <w:sz w:val="24"/>
          <w:szCs w:val="24"/>
        </w:rPr>
        <w:t xml:space="preserve"> Article 27 of the United Nations Convention on the Rights of Persons with Disabilities (CRPD) </w:t>
      </w:r>
      <w:r w:rsidR="009F43EB" w:rsidRPr="00B63E94">
        <w:rPr>
          <w:rFonts w:ascii="Times New Roman" w:hAnsi="Times New Roman" w:cs="Times New Roman"/>
          <w:sz w:val="24"/>
          <w:szCs w:val="24"/>
        </w:rPr>
        <w:t>addressing</w:t>
      </w:r>
      <w:r w:rsidR="004E33DE" w:rsidRPr="00B63E94">
        <w:rPr>
          <w:rFonts w:ascii="Times New Roman" w:hAnsi="Times New Roman" w:cs="Times New Roman"/>
          <w:sz w:val="24"/>
          <w:szCs w:val="24"/>
        </w:rPr>
        <w:t xml:space="preserve"> </w:t>
      </w:r>
      <w:r w:rsidR="008B5F54" w:rsidRPr="00B63E94">
        <w:rPr>
          <w:rFonts w:ascii="Times New Roman" w:hAnsi="Times New Roman" w:cs="Times New Roman"/>
          <w:sz w:val="24"/>
          <w:szCs w:val="24"/>
        </w:rPr>
        <w:t xml:space="preserve">work and employment </w:t>
      </w:r>
      <w:r w:rsidR="00D91080" w:rsidRPr="00B63E94">
        <w:rPr>
          <w:rFonts w:ascii="Times New Roman" w:hAnsi="Times New Roman" w:cs="Times New Roman"/>
          <w:sz w:val="24"/>
          <w:szCs w:val="24"/>
        </w:rPr>
        <w:t xml:space="preserve">lays down a bold challenge to policy makers </w:t>
      </w:r>
      <w:r w:rsidR="008B5F54" w:rsidRPr="00B63E94">
        <w:rPr>
          <w:rFonts w:ascii="Times New Roman" w:hAnsi="Times New Roman" w:cs="Times New Roman"/>
          <w:sz w:val="24"/>
          <w:szCs w:val="24"/>
        </w:rPr>
        <w:t>and</w:t>
      </w:r>
      <w:r w:rsidR="00D91080" w:rsidRPr="00B63E94">
        <w:rPr>
          <w:rFonts w:ascii="Times New Roman" w:hAnsi="Times New Roman" w:cs="Times New Roman"/>
          <w:sz w:val="24"/>
          <w:szCs w:val="24"/>
        </w:rPr>
        <w:t xml:space="preserve"> </w:t>
      </w:r>
      <w:r w:rsidRPr="00B63E94">
        <w:rPr>
          <w:rFonts w:ascii="Times New Roman" w:hAnsi="Times New Roman" w:cs="Times New Roman"/>
          <w:sz w:val="24"/>
          <w:szCs w:val="24"/>
        </w:rPr>
        <w:t xml:space="preserve">raises </w:t>
      </w:r>
      <w:r w:rsidR="00D91080" w:rsidRPr="00B63E94">
        <w:rPr>
          <w:rFonts w:ascii="Times New Roman" w:hAnsi="Times New Roman" w:cs="Times New Roman"/>
          <w:sz w:val="24"/>
          <w:szCs w:val="24"/>
        </w:rPr>
        <w:t>complex</w:t>
      </w:r>
      <w:r w:rsidR="008B5F54" w:rsidRPr="00B63E94">
        <w:rPr>
          <w:rFonts w:ascii="Times New Roman" w:hAnsi="Times New Roman" w:cs="Times New Roman"/>
          <w:sz w:val="24"/>
          <w:szCs w:val="24"/>
        </w:rPr>
        <w:t xml:space="preserve"> </w:t>
      </w:r>
      <w:r w:rsidR="009F43EB" w:rsidRPr="00B63E94">
        <w:rPr>
          <w:rFonts w:ascii="Times New Roman" w:hAnsi="Times New Roman" w:cs="Times New Roman"/>
          <w:sz w:val="24"/>
          <w:szCs w:val="24"/>
        </w:rPr>
        <w:t>issues</w:t>
      </w:r>
      <w:r w:rsidRPr="00B63E94">
        <w:rPr>
          <w:rFonts w:ascii="Times New Roman" w:hAnsi="Times New Roman" w:cs="Times New Roman"/>
          <w:sz w:val="24"/>
          <w:szCs w:val="24"/>
        </w:rPr>
        <w:t xml:space="preserve">. </w:t>
      </w:r>
      <w:r w:rsidR="00E523F8" w:rsidRPr="00B63E94">
        <w:rPr>
          <w:rFonts w:ascii="Times New Roman" w:hAnsi="Times New Roman" w:cs="Times New Roman"/>
          <w:sz w:val="24"/>
          <w:szCs w:val="24"/>
        </w:rPr>
        <w:t>I</w:t>
      </w:r>
      <w:r w:rsidR="00D91080" w:rsidRPr="00B63E94">
        <w:rPr>
          <w:rFonts w:ascii="Times New Roman" w:hAnsi="Times New Roman" w:cs="Times New Roman"/>
          <w:sz w:val="24"/>
          <w:szCs w:val="24"/>
        </w:rPr>
        <w:t>t requires that</w:t>
      </w:r>
      <w:r w:rsidR="00E523F8" w:rsidRPr="00B63E94">
        <w:rPr>
          <w:rFonts w:ascii="Times New Roman" w:hAnsi="Times New Roman" w:cs="Times New Roman"/>
          <w:sz w:val="24"/>
          <w:szCs w:val="24"/>
        </w:rPr>
        <w:t>:</w:t>
      </w:r>
      <w:r w:rsidRPr="00B63E94">
        <w:rPr>
          <w:rFonts w:ascii="Times New Roman" w:hAnsi="Times New Roman" w:cs="Times New Roman"/>
          <w:sz w:val="24"/>
          <w:szCs w:val="24"/>
        </w:rPr>
        <w:t xml:space="preserve"> </w:t>
      </w:r>
    </w:p>
    <w:p w14:paraId="537F1904" w14:textId="3CA66828" w:rsidR="00E523F8" w:rsidRPr="00B63E94" w:rsidRDefault="003A4ADB" w:rsidP="00F22086">
      <w:pPr>
        <w:spacing w:line="360" w:lineRule="auto"/>
        <w:ind w:left="720"/>
        <w:jc w:val="both"/>
        <w:rPr>
          <w:rFonts w:ascii="Times New Roman" w:hAnsi="Times New Roman" w:cs="Times New Roman"/>
          <w:sz w:val="24"/>
          <w:szCs w:val="24"/>
        </w:rPr>
      </w:pPr>
      <w:r w:rsidRPr="00B63E94">
        <w:rPr>
          <w:rFonts w:ascii="Times New Roman" w:hAnsi="Times New Roman" w:cs="Times New Roman"/>
          <w:sz w:val="24"/>
          <w:szCs w:val="24"/>
        </w:rPr>
        <w:t>States Parties recognize the right of persons with disabilities to work, on an equal basis with others; this includes the right to the opportunity to gain a living by work freely chosen or accepted in a labour market and work environment that is open, inclusive and accessible to persons with disabilities.</w:t>
      </w:r>
    </w:p>
    <w:p w14:paraId="4DEF9BA0" w14:textId="56F694E8" w:rsidR="00E523F8" w:rsidRPr="00B63E94" w:rsidRDefault="00E523F8" w:rsidP="00F22086">
      <w:pPr>
        <w:spacing w:line="360" w:lineRule="auto"/>
        <w:jc w:val="both"/>
        <w:rPr>
          <w:rFonts w:ascii="Times New Roman" w:hAnsi="Times New Roman" w:cs="Times New Roman"/>
          <w:sz w:val="24"/>
          <w:szCs w:val="24"/>
        </w:rPr>
      </w:pPr>
      <w:r w:rsidRPr="00B63E94">
        <w:rPr>
          <w:rFonts w:ascii="Times New Roman" w:hAnsi="Times New Roman" w:cs="Times New Roman"/>
          <w:sz w:val="24"/>
          <w:szCs w:val="24"/>
        </w:rPr>
        <w:t xml:space="preserve">Of particular note </w:t>
      </w:r>
      <w:r w:rsidR="00D91080" w:rsidRPr="00B63E94">
        <w:rPr>
          <w:rFonts w:ascii="Times New Roman" w:hAnsi="Times New Roman" w:cs="Times New Roman"/>
          <w:sz w:val="24"/>
          <w:szCs w:val="24"/>
        </w:rPr>
        <w:t xml:space="preserve">here </w:t>
      </w:r>
      <w:r w:rsidR="00926B96" w:rsidRPr="00B63E94">
        <w:rPr>
          <w:rFonts w:ascii="Times New Roman" w:hAnsi="Times New Roman" w:cs="Times New Roman"/>
          <w:sz w:val="24"/>
          <w:szCs w:val="24"/>
        </w:rPr>
        <w:t>is</w:t>
      </w:r>
      <w:r w:rsidRPr="00B63E94">
        <w:rPr>
          <w:rFonts w:ascii="Times New Roman" w:hAnsi="Times New Roman" w:cs="Times New Roman"/>
          <w:sz w:val="24"/>
          <w:szCs w:val="24"/>
        </w:rPr>
        <w:t xml:space="preserve"> the concept of </w:t>
      </w:r>
      <w:r w:rsidR="00D91080" w:rsidRPr="00B63E94">
        <w:rPr>
          <w:rFonts w:ascii="Times New Roman" w:hAnsi="Times New Roman" w:cs="Times New Roman"/>
          <w:sz w:val="24"/>
          <w:szCs w:val="24"/>
        </w:rPr>
        <w:t xml:space="preserve">an </w:t>
      </w:r>
      <w:r w:rsidRPr="00B63E94">
        <w:rPr>
          <w:rFonts w:ascii="Times New Roman" w:hAnsi="Times New Roman" w:cs="Times New Roman"/>
          <w:sz w:val="24"/>
          <w:szCs w:val="24"/>
        </w:rPr>
        <w:t xml:space="preserve">equal right to work and the principle of free choice, at least to the extent that anyone is free to choose </w:t>
      </w:r>
      <w:r w:rsidR="00D91080" w:rsidRPr="00B63E94">
        <w:rPr>
          <w:rFonts w:ascii="Times New Roman" w:hAnsi="Times New Roman" w:cs="Times New Roman"/>
          <w:sz w:val="24"/>
          <w:szCs w:val="24"/>
        </w:rPr>
        <w:t>the</w:t>
      </w:r>
      <w:r w:rsidRPr="00B63E94">
        <w:rPr>
          <w:rFonts w:ascii="Times New Roman" w:hAnsi="Times New Roman" w:cs="Times New Roman"/>
          <w:sz w:val="24"/>
          <w:szCs w:val="24"/>
        </w:rPr>
        <w:t xml:space="preserve"> work </w:t>
      </w:r>
      <w:r w:rsidR="00D91080" w:rsidRPr="00B63E94">
        <w:rPr>
          <w:rFonts w:ascii="Times New Roman" w:hAnsi="Times New Roman" w:cs="Times New Roman"/>
          <w:sz w:val="24"/>
          <w:szCs w:val="24"/>
        </w:rPr>
        <w:t xml:space="preserve">that </w:t>
      </w:r>
      <w:r w:rsidRPr="00B63E94">
        <w:rPr>
          <w:rFonts w:ascii="Times New Roman" w:hAnsi="Times New Roman" w:cs="Times New Roman"/>
          <w:sz w:val="24"/>
          <w:szCs w:val="24"/>
        </w:rPr>
        <w:t xml:space="preserve">they do. At the same time, this bold commitment hints at some of the enablers that </w:t>
      </w:r>
      <w:r w:rsidR="008B5F54" w:rsidRPr="00B63E94">
        <w:rPr>
          <w:rFonts w:ascii="Times New Roman" w:hAnsi="Times New Roman" w:cs="Times New Roman"/>
          <w:sz w:val="24"/>
          <w:szCs w:val="24"/>
        </w:rPr>
        <w:t xml:space="preserve">are </w:t>
      </w:r>
      <w:r w:rsidRPr="00B63E94">
        <w:rPr>
          <w:rFonts w:ascii="Times New Roman" w:hAnsi="Times New Roman" w:cs="Times New Roman"/>
          <w:sz w:val="24"/>
          <w:szCs w:val="24"/>
        </w:rPr>
        <w:t>pre-requisite to the reali</w:t>
      </w:r>
      <w:r w:rsidR="004E33DE" w:rsidRPr="00B63E94">
        <w:rPr>
          <w:rFonts w:ascii="Times New Roman" w:hAnsi="Times New Roman" w:cs="Times New Roman"/>
          <w:sz w:val="24"/>
          <w:szCs w:val="24"/>
        </w:rPr>
        <w:t>s</w:t>
      </w:r>
      <w:r w:rsidRPr="00B63E94">
        <w:rPr>
          <w:rFonts w:ascii="Times New Roman" w:hAnsi="Times New Roman" w:cs="Times New Roman"/>
          <w:sz w:val="24"/>
          <w:szCs w:val="24"/>
        </w:rPr>
        <w:t xml:space="preserve">ation of </w:t>
      </w:r>
      <w:r w:rsidR="00D91080" w:rsidRPr="00B63E94">
        <w:rPr>
          <w:rFonts w:ascii="Times New Roman" w:hAnsi="Times New Roman" w:cs="Times New Roman"/>
          <w:sz w:val="24"/>
          <w:szCs w:val="24"/>
        </w:rPr>
        <w:t xml:space="preserve">employment </w:t>
      </w:r>
      <w:r w:rsidRPr="00B63E94">
        <w:rPr>
          <w:rFonts w:ascii="Times New Roman" w:hAnsi="Times New Roman" w:cs="Times New Roman"/>
          <w:sz w:val="24"/>
          <w:szCs w:val="24"/>
        </w:rPr>
        <w:t xml:space="preserve">choices and rights for disabled people in a competitive labour market – notably the inclusivity and accessibility of that market to people with diverse capabilities and resources.  The challenge for law and policy </w:t>
      </w:r>
      <w:r w:rsidR="008B5F54" w:rsidRPr="00B63E94">
        <w:rPr>
          <w:rFonts w:ascii="Times New Roman" w:hAnsi="Times New Roman" w:cs="Times New Roman"/>
          <w:sz w:val="24"/>
          <w:szCs w:val="24"/>
        </w:rPr>
        <w:t xml:space="preserve">makers </w:t>
      </w:r>
      <w:r w:rsidRPr="00B63E94">
        <w:rPr>
          <w:rFonts w:ascii="Times New Roman" w:hAnsi="Times New Roman" w:cs="Times New Roman"/>
          <w:sz w:val="24"/>
          <w:szCs w:val="24"/>
        </w:rPr>
        <w:t>is not only to create and enforce equal employment rights but also to facilitate</w:t>
      </w:r>
      <w:r w:rsidR="00D91080" w:rsidRPr="00B63E94">
        <w:rPr>
          <w:rFonts w:ascii="Times New Roman" w:hAnsi="Times New Roman" w:cs="Times New Roman"/>
          <w:sz w:val="24"/>
          <w:szCs w:val="24"/>
        </w:rPr>
        <w:t xml:space="preserve"> the kinds of</w:t>
      </w:r>
      <w:r w:rsidRPr="00B63E94">
        <w:rPr>
          <w:rFonts w:ascii="Times New Roman" w:hAnsi="Times New Roman" w:cs="Times New Roman"/>
          <w:sz w:val="24"/>
          <w:szCs w:val="24"/>
        </w:rPr>
        <w:t xml:space="preserve"> labour </w:t>
      </w:r>
      <w:r w:rsidR="00CB0AF4" w:rsidRPr="00B63E94">
        <w:rPr>
          <w:rFonts w:ascii="Times New Roman" w:hAnsi="Times New Roman" w:cs="Times New Roman"/>
          <w:sz w:val="24"/>
          <w:szCs w:val="24"/>
        </w:rPr>
        <w:t xml:space="preserve">market conditions that </w:t>
      </w:r>
      <w:r w:rsidR="00D91080" w:rsidRPr="00B63E94">
        <w:rPr>
          <w:rFonts w:ascii="Times New Roman" w:hAnsi="Times New Roman" w:cs="Times New Roman"/>
          <w:sz w:val="24"/>
          <w:szCs w:val="24"/>
        </w:rPr>
        <w:t xml:space="preserve">will </w:t>
      </w:r>
      <w:r w:rsidR="00CB0AF4" w:rsidRPr="00B63E94">
        <w:rPr>
          <w:rFonts w:ascii="Times New Roman" w:hAnsi="Times New Roman" w:cs="Times New Roman"/>
          <w:sz w:val="24"/>
          <w:szCs w:val="24"/>
        </w:rPr>
        <w:t>enable such rights to be exercised</w:t>
      </w:r>
      <w:r w:rsidR="00D91080" w:rsidRPr="00B63E94">
        <w:rPr>
          <w:rFonts w:ascii="Times New Roman" w:hAnsi="Times New Roman" w:cs="Times New Roman"/>
          <w:sz w:val="24"/>
          <w:szCs w:val="24"/>
        </w:rPr>
        <w:t xml:space="preserve"> in practice</w:t>
      </w:r>
      <w:r w:rsidR="00CB0AF4" w:rsidRPr="00B63E94">
        <w:rPr>
          <w:rFonts w:ascii="Times New Roman" w:hAnsi="Times New Roman" w:cs="Times New Roman"/>
          <w:sz w:val="24"/>
          <w:szCs w:val="24"/>
        </w:rPr>
        <w:t>.</w:t>
      </w:r>
      <w:r w:rsidR="00A03406" w:rsidRPr="00B63E94">
        <w:rPr>
          <w:rFonts w:ascii="Times New Roman" w:hAnsi="Times New Roman" w:cs="Times New Roman"/>
          <w:sz w:val="24"/>
          <w:szCs w:val="24"/>
        </w:rPr>
        <w:t xml:space="preserve"> Eradicating employment </w:t>
      </w:r>
      <w:r w:rsidR="00A03406" w:rsidRPr="00B63E94">
        <w:rPr>
          <w:rFonts w:ascii="Times New Roman" w:hAnsi="Times New Roman" w:cs="Times New Roman"/>
          <w:sz w:val="24"/>
          <w:szCs w:val="24"/>
        </w:rPr>
        <w:lastRenderedPageBreak/>
        <w:t>discrimination on grounds of disability is a significant challenge</w:t>
      </w:r>
      <w:r w:rsidR="00C518B3" w:rsidRPr="00B63E94">
        <w:rPr>
          <w:rFonts w:ascii="Times New Roman" w:hAnsi="Times New Roman" w:cs="Times New Roman"/>
          <w:sz w:val="24"/>
          <w:szCs w:val="24"/>
        </w:rPr>
        <w:t>;</w:t>
      </w:r>
      <w:r w:rsidR="00A03406" w:rsidRPr="00B63E94">
        <w:rPr>
          <w:rFonts w:ascii="Times New Roman" w:hAnsi="Times New Roman" w:cs="Times New Roman"/>
          <w:sz w:val="24"/>
          <w:szCs w:val="24"/>
        </w:rPr>
        <w:t xml:space="preserve"> </w:t>
      </w:r>
      <w:r w:rsidR="00C518B3" w:rsidRPr="00B63E94">
        <w:rPr>
          <w:rFonts w:ascii="Times New Roman" w:hAnsi="Times New Roman" w:cs="Times New Roman"/>
          <w:sz w:val="24"/>
          <w:szCs w:val="24"/>
        </w:rPr>
        <w:t xml:space="preserve">building a ‘work environment that is open, inclusive and accessible’ is </w:t>
      </w:r>
      <w:r w:rsidR="004E33DE" w:rsidRPr="00B63E94">
        <w:rPr>
          <w:rFonts w:ascii="Times New Roman" w:hAnsi="Times New Roman" w:cs="Times New Roman"/>
          <w:sz w:val="24"/>
          <w:szCs w:val="24"/>
        </w:rPr>
        <w:t>even</w:t>
      </w:r>
      <w:r w:rsidR="00C518B3" w:rsidRPr="00B63E94">
        <w:rPr>
          <w:rFonts w:ascii="Times New Roman" w:hAnsi="Times New Roman" w:cs="Times New Roman"/>
          <w:sz w:val="24"/>
          <w:szCs w:val="24"/>
        </w:rPr>
        <w:t xml:space="preserve"> more challenging.</w:t>
      </w:r>
    </w:p>
    <w:p w14:paraId="7C32158C" w14:textId="77777777" w:rsidR="00777E79" w:rsidRPr="00B63E94" w:rsidRDefault="00EF190F" w:rsidP="00F22086">
      <w:pPr>
        <w:spacing w:line="360" w:lineRule="auto"/>
        <w:jc w:val="both"/>
        <w:rPr>
          <w:rFonts w:ascii="Times New Roman" w:hAnsi="Times New Roman" w:cs="Times New Roman"/>
          <w:sz w:val="24"/>
          <w:szCs w:val="24"/>
        </w:rPr>
      </w:pPr>
      <w:r w:rsidRPr="00B63E94">
        <w:rPr>
          <w:rFonts w:ascii="Times New Roman" w:hAnsi="Times New Roman" w:cs="Times New Roman"/>
          <w:sz w:val="24"/>
          <w:szCs w:val="24"/>
        </w:rPr>
        <w:t>As discussed in this chapter, t</w:t>
      </w:r>
      <w:r w:rsidR="00496641" w:rsidRPr="00B63E94">
        <w:rPr>
          <w:rFonts w:ascii="Times New Roman" w:hAnsi="Times New Roman" w:cs="Times New Roman"/>
          <w:sz w:val="24"/>
          <w:szCs w:val="24"/>
        </w:rPr>
        <w:t xml:space="preserve">he development of public policies to advance employment opportunities for disabled people </w:t>
      </w:r>
      <w:r w:rsidR="00CF7E78" w:rsidRPr="00B63E94">
        <w:rPr>
          <w:rFonts w:ascii="Times New Roman" w:hAnsi="Times New Roman" w:cs="Times New Roman"/>
          <w:sz w:val="24"/>
          <w:szCs w:val="24"/>
        </w:rPr>
        <w:t>reveals</w:t>
      </w:r>
      <w:r w:rsidR="00496641" w:rsidRPr="00B63E94">
        <w:rPr>
          <w:rFonts w:ascii="Times New Roman" w:hAnsi="Times New Roman" w:cs="Times New Roman"/>
          <w:sz w:val="24"/>
          <w:szCs w:val="24"/>
        </w:rPr>
        <w:t xml:space="preserve"> a historic shift from ‘compensatory’ </w:t>
      </w:r>
      <w:r w:rsidR="00DE5FDC" w:rsidRPr="00B63E94">
        <w:rPr>
          <w:rFonts w:ascii="Times New Roman" w:hAnsi="Times New Roman" w:cs="Times New Roman"/>
          <w:sz w:val="24"/>
          <w:szCs w:val="24"/>
        </w:rPr>
        <w:t>approaches</w:t>
      </w:r>
      <w:r w:rsidR="004E33DE" w:rsidRPr="00B63E94">
        <w:rPr>
          <w:rFonts w:ascii="Times New Roman" w:hAnsi="Times New Roman" w:cs="Times New Roman"/>
          <w:sz w:val="24"/>
          <w:szCs w:val="24"/>
        </w:rPr>
        <w:t>,</w:t>
      </w:r>
      <w:r w:rsidR="00496641" w:rsidRPr="00B63E94">
        <w:rPr>
          <w:rFonts w:ascii="Times New Roman" w:hAnsi="Times New Roman" w:cs="Times New Roman"/>
          <w:sz w:val="24"/>
          <w:szCs w:val="24"/>
        </w:rPr>
        <w:t xml:space="preserve"> towards </w:t>
      </w:r>
      <w:r w:rsidR="008B5F54" w:rsidRPr="00B63E94">
        <w:rPr>
          <w:rFonts w:ascii="Times New Roman" w:hAnsi="Times New Roman" w:cs="Times New Roman"/>
          <w:sz w:val="24"/>
          <w:szCs w:val="24"/>
        </w:rPr>
        <w:t xml:space="preserve">those based on </w:t>
      </w:r>
      <w:r w:rsidR="00496641" w:rsidRPr="00B63E94">
        <w:rPr>
          <w:rFonts w:ascii="Times New Roman" w:hAnsi="Times New Roman" w:cs="Times New Roman"/>
          <w:sz w:val="24"/>
          <w:szCs w:val="24"/>
        </w:rPr>
        <w:t>equal rights</w:t>
      </w:r>
      <w:r w:rsidR="00DE5FDC" w:rsidRPr="00B63E94">
        <w:rPr>
          <w:rFonts w:ascii="Times New Roman" w:hAnsi="Times New Roman" w:cs="Times New Roman"/>
          <w:sz w:val="24"/>
          <w:szCs w:val="24"/>
        </w:rPr>
        <w:t xml:space="preserve">, </w:t>
      </w:r>
      <w:r w:rsidR="00496641" w:rsidRPr="00B63E94">
        <w:rPr>
          <w:rFonts w:ascii="Times New Roman" w:hAnsi="Times New Roman" w:cs="Times New Roman"/>
          <w:sz w:val="24"/>
          <w:szCs w:val="24"/>
        </w:rPr>
        <w:t xml:space="preserve">greater accessibility and support </w:t>
      </w:r>
      <w:r w:rsidR="00DE5FDC" w:rsidRPr="00B63E94">
        <w:rPr>
          <w:rFonts w:ascii="Times New Roman" w:hAnsi="Times New Roman" w:cs="Times New Roman"/>
          <w:sz w:val="24"/>
          <w:szCs w:val="24"/>
        </w:rPr>
        <w:t>in the workplace</w:t>
      </w:r>
      <w:r w:rsidR="00496641" w:rsidRPr="00B63E94">
        <w:rPr>
          <w:rFonts w:ascii="Times New Roman" w:hAnsi="Times New Roman" w:cs="Times New Roman"/>
          <w:sz w:val="24"/>
          <w:szCs w:val="24"/>
        </w:rPr>
        <w:t xml:space="preserve">. </w:t>
      </w:r>
      <w:r w:rsidR="00DE5FDC" w:rsidRPr="00B63E94">
        <w:rPr>
          <w:rFonts w:ascii="Times New Roman" w:hAnsi="Times New Roman" w:cs="Times New Roman"/>
          <w:sz w:val="24"/>
          <w:szCs w:val="24"/>
        </w:rPr>
        <w:t xml:space="preserve">In many ways these are positive developments, </w:t>
      </w:r>
      <w:r w:rsidR="00777E79" w:rsidRPr="00B63E94">
        <w:rPr>
          <w:rFonts w:ascii="Times New Roman" w:hAnsi="Times New Roman" w:cs="Times New Roman"/>
          <w:sz w:val="24"/>
          <w:szCs w:val="24"/>
        </w:rPr>
        <w:t>responding to</w:t>
      </w:r>
      <w:r w:rsidR="00DE5FDC" w:rsidRPr="00B63E94">
        <w:rPr>
          <w:rFonts w:ascii="Times New Roman" w:hAnsi="Times New Roman" w:cs="Times New Roman"/>
          <w:sz w:val="24"/>
          <w:szCs w:val="24"/>
        </w:rPr>
        <w:t xml:space="preserve"> the </w:t>
      </w:r>
      <w:r w:rsidR="00720FA7" w:rsidRPr="00B63E94">
        <w:rPr>
          <w:rFonts w:ascii="Times New Roman" w:hAnsi="Times New Roman" w:cs="Times New Roman"/>
          <w:sz w:val="24"/>
          <w:szCs w:val="24"/>
        </w:rPr>
        <w:t xml:space="preserve">claims and </w:t>
      </w:r>
      <w:r w:rsidR="00DE5FDC" w:rsidRPr="00B63E94">
        <w:rPr>
          <w:rFonts w:ascii="Times New Roman" w:hAnsi="Times New Roman" w:cs="Times New Roman"/>
          <w:sz w:val="24"/>
          <w:szCs w:val="24"/>
        </w:rPr>
        <w:t xml:space="preserve">activism of the </w:t>
      </w:r>
      <w:r w:rsidR="00720FA7" w:rsidRPr="00B63E94">
        <w:rPr>
          <w:rFonts w:ascii="Times New Roman" w:hAnsi="Times New Roman" w:cs="Times New Roman"/>
          <w:sz w:val="24"/>
          <w:szCs w:val="24"/>
        </w:rPr>
        <w:t>disability rights</w:t>
      </w:r>
      <w:r w:rsidR="00DE5FDC" w:rsidRPr="00B63E94">
        <w:rPr>
          <w:rFonts w:ascii="Times New Roman" w:hAnsi="Times New Roman" w:cs="Times New Roman"/>
          <w:sz w:val="24"/>
          <w:szCs w:val="24"/>
        </w:rPr>
        <w:t xml:space="preserve"> movement, </w:t>
      </w:r>
      <w:r w:rsidR="00C518B3" w:rsidRPr="00B63E94">
        <w:rPr>
          <w:rFonts w:ascii="Times New Roman" w:hAnsi="Times New Roman" w:cs="Times New Roman"/>
          <w:sz w:val="24"/>
          <w:szCs w:val="24"/>
        </w:rPr>
        <w:t>but</w:t>
      </w:r>
      <w:r w:rsidR="00DE5FDC" w:rsidRPr="00B63E94">
        <w:rPr>
          <w:rFonts w:ascii="Times New Roman" w:hAnsi="Times New Roman" w:cs="Times New Roman"/>
          <w:sz w:val="24"/>
          <w:szCs w:val="24"/>
        </w:rPr>
        <w:t xml:space="preserve"> disabled people have </w:t>
      </w:r>
      <w:r w:rsidR="008B5F54" w:rsidRPr="00B63E94">
        <w:rPr>
          <w:rFonts w:ascii="Times New Roman" w:hAnsi="Times New Roman" w:cs="Times New Roman"/>
          <w:sz w:val="24"/>
          <w:szCs w:val="24"/>
        </w:rPr>
        <w:t>also been</w:t>
      </w:r>
      <w:r w:rsidR="00DE5FDC" w:rsidRPr="00B63E94">
        <w:rPr>
          <w:rFonts w:ascii="Times New Roman" w:hAnsi="Times New Roman" w:cs="Times New Roman"/>
          <w:sz w:val="24"/>
          <w:szCs w:val="24"/>
        </w:rPr>
        <w:t xml:space="preserve"> the targets of more punitive policy reforms to reduce welfare spending </w:t>
      </w:r>
      <w:r w:rsidR="00720FA7" w:rsidRPr="00B63E94">
        <w:rPr>
          <w:rFonts w:ascii="Times New Roman" w:hAnsi="Times New Roman" w:cs="Times New Roman"/>
          <w:sz w:val="24"/>
          <w:szCs w:val="24"/>
        </w:rPr>
        <w:t xml:space="preserve">by </w:t>
      </w:r>
      <w:r w:rsidR="008B5F54" w:rsidRPr="00B63E94">
        <w:rPr>
          <w:rFonts w:ascii="Times New Roman" w:hAnsi="Times New Roman" w:cs="Times New Roman"/>
          <w:sz w:val="24"/>
          <w:szCs w:val="24"/>
        </w:rPr>
        <w:t>requiring</w:t>
      </w:r>
      <w:r w:rsidR="00720FA7" w:rsidRPr="00B63E94">
        <w:rPr>
          <w:rFonts w:ascii="Times New Roman" w:hAnsi="Times New Roman" w:cs="Times New Roman"/>
          <w:sz w:val="24"/>
          <w:szCs w:val="24"/>
        </w:rPr>
        <w:t xml:space="preserve"> more </w:t>
      </w:r>
      <w:r w:rsidR="00C518B3" w:rsidRPr="00B63E94">
        <w:rPr>
          <w:rFonts w:ascii="Times New Roman" w:hAnsi="Times New Roman" w:cs="Times New Roman"/>
          <w:sz w:val="24"/>
          <w:szCs w:val="24"/>
        </w:rPr>
        <w:t>of those out of work</w:t>
      </w:r>
      <w:r w:rsidR="00720FA7" w:rsidRPr="00B63E94">
        <w:rPr>
          <w:rFonts w:ascii="Times New Roman" w:hAnsi="Times New Roman" w:cs="Times New Roman"/>
          <w:sz w:val="24"/>
          <w:szCs w:val="24"/>
        </w:rPr>
        <w:t xml:space="preserve"> </w:t>
      </w:r>
      <w:r w:rsidR="00D859B1" w:rsidRPr="00B63E94">
        <w:rPr>
          <w:rFonts w:ascii="Times New Roman" w:hAnsi="Times New Roman" w:cs="Times New Roman"/>
          <w:sz w:val="24"/>
          <w:szCs w:val="24"/>
        </w:rPr>
        <w:t xml:space="preserve">to search for </w:t>
      </w:r>
      <w:r w:rsidR="00C518B3" w:rsidRPr="00B63E94">
        <w:rPr>
          <w:rFonts w:ascii="Times New Roman" w:hAnsi="Times New Roman" w:cs="Times New Roman"/>
          <w:sz w:val="24"/>
          <w:szCs w:val="24"/>
        </w:rPr>
        <w:t>employment</w:t>
      </w:r>
      <w:r w:rsidR="00D859B1" w:rsidRPr="00B63E94">
        <w:rPr>
          <w:rFonts w:ascii="Times New Roman" w:hAnsi="Times New Roman" w:cs="Times New Roman"/>
          <w:sz w:val="24"/>
          <w:szCs w:val="24"/>
        </w:rPr>
        <w:t xml:space="preserve"> in </w:t>
      </w:r>
      <w:r w:rsidR="00777E79" w:rsidRPr="00B63E94">
        <w:rPr>
          <w:rFonts w:ascii="Times New Roman" w:hAnsi="Times New Roman" w:cs="Times New Roman"/>
          <w:sz w:val="24"/>
          <w:szCs w:val="24"/>
        </w:rPr>
        <w:t>unequal</w:t>
      </w:r>
      <w:r w:rsidR="00D859B1" w:rsidRPr="00B63E94">
        <w:rPr>
          <w:rFonts w:ascii="Times New Roman" w:hAnsi="Times New Roman" w:cs="Times New Roman"/>
          <w:sz w:val="24"/>
          <w:szCs w:val="24"/>
        </w:rPr>
        <w:t xml:space="preserve"> labour market</w:t>
      </w:r>
      <w:r w:rsidR="00777E79" w:rsidRPr="00B63E94">
        <w:rPr>
          <w:rFonts w:ascii="Times New Roman" w:hAnsi="Times New Roman" w:cs="Times New Roman"/>
          <w:sz w:val="24"/>
          <w:szCs w:val="24"/>
        </w:rPr>
        <w:t xml:space="preserve"> conditions</w:t>
      </w:r>
      <w:r w:rsidR="00465742" w:rsidRPr="00B63E94">
        <w:rPr>
          <w:rFonts w:ascii="Times New Roman" w:hAnsi="Times New Roman" w:cs="Times New Roman"/>
          <w:sz w:val="24"/>
          <w:szCs w:val="24"/>
        </w:rPr>
        <w:t xml:space="preserve">. </w:t>
      </w:r>
      <w:r w:rsidR="00DE5FDC" w:rsidRPr="00B63E94">
        <w:rPr>
          <w:rFonts w:ascii="Times New Roman" w:hAnsi="Times New Roman" w:cs="Times New Roman"/>
          <w:sz w:val="24"/>
          <w:szCs w:val="24"/>
        </w:rPr>
        <w:t xml:space="preserve"> </w:t>
      </w:r>
    </w:p>
    <w:p w14:paraId="2871A68E" w14:textId="4CBB61F8" w:rsidR="00777E79" w:rsidRPr="00B63E94" w:rsidRDefault="00777E79" w:rsidP="00F22086">
      <w:pPr>
        <w:spacing w:line="360" w:lineRule="auto"/>
        <w:jc w:val="both"/>
        <w:rPr>
          <w:rFonts w:ascii="Times New Roman" w:hAnsi="Times New Roman" w:cs="Times New Roman"/>
          <w:sz w:val="24"/>
          <w:szCs w:val="24"/>
        </w:rPr>
      </w:pPr>
      <w:r w:rsidRPr="00B63E94">
        <w:rPr>
          <w:rFonts w:ascii="Times New Roman" w:hAnsi="Times New Roman" w:cs="Times New Roman"/>
          <w:sz w:val="24"/>
          <w:szCs w:val="24"/>
          <w:lang w:val="en-US"/>
        </w:rPr>
        <w:t xml:space="preserve">Work and employment is undoubtedly important to the </w:t>
      </w:r>
      <w:r w:rsidR="00C518B3" w:rsidRPr="00B63E94">
        <w:rPr>
          <w:rFonts w:ascii="Times New Roman" w:hAnsi="Times New Roman" w:cs="Times New Roman"/>
          <w:sz w:val="24"/>
          <w:szCs w:val="24"/>
          <w:lang w:val="en-US"/>
        </w:rPr>
        <w:t xml:space="preserve">general </w:t>
      </w:r>
      <w:r w:rsidRPr="00B63E94">
        <w:rPr>
          <w:rFonts w:ascii="Times New Roman" w:hAnsi="Times New Roman" w:cs="Times New Roman"/>
          <w:sz w:val="24"/>
          <w:szCs w:val="24"/>
          <w:lang w:val="en-US"/>
        </w:rPr>
        <w:t>functioning of modern societies</w:t>
      </w:r>
      <w:r w:rsidR="004E33DE" w:rsidRPr="00B63E94">
        <w:rPr>
          <w:rFonts w:ascii="Times New Roman" w:hAnsi="Times New Roman" w:cs="Times New Roman"/>
          <w:sz w:val="24"/>
          <w:szCs w:val="24"/>
          <w:lang w:val="en-US"/>
        </w:rPr>
        <w:t>,</w:t>
      </w:r>
      <w:r w:rsidRPr="00B63E94">
        <w:rPr>
          <w:rFonts w:ascii="Times New Roman" w:hAnsi="Times New Roman" w:cs="Times New Roman"/>
          <w:sz w:val="24"/>
          <w:szCs w:val="24"/>
          <w:lang w:val="en-US"/>
        </w:rPr>
        <w:t xml:space="preserve"> but the </w:t>
      </w:r>
      <w:r w:rsidRPr="00B63E94">
        <w:rPr>
          <w:rFonts w:ascii="Times New Roman" w:hAnsi="Times New Roman" w:cs="Times New Roman"/>
          <w:sz w:val="24"/>
          <w:szCs w:val="24"/>
        </w:rPr>
        <w:t xml:space="preserve">way we think about work has been an important factor </w:t>
      </w:r>
      <w:r w:rsidR="008B5F54" w:rsidRPr="00B63E94">
        <w:rPr>
          <w:rFonts w:ascii="Times New Roman" w:hAnsi="Times New Roman" w:cs="Times New Roman"/>
          <w:sz w:val="24"/>
          <w:szCs w:val="24"/>
        </w:rPr>
        <w:t xml:space="preserve">too </w:t>
      </w:r>
      <w:r w:rsidRPr="00B63E94">
        <w:rPr>
          <w:rFonts w:ascii="Times New Roman" w:hAnsi="Times New Roman" w:cs="Times New Roman"/>
          <w:sz w:val="24"/>
          <w:szCs w:val="24"/>
        </w:rPr>
        <w:t xml:space="preserve">in defining what we understand as ‘disability’ and its governance through social policies. Indeed, in some countries, legal definitions of what it means to be ‘disabled’ (for the purposes of social policy and administration) </w:t>
      </w:r>
      <w:r w:rsidR="004E33DE" w:rsidRPr="00B63E94">
        <w:rPr>
          <w:rFonts w:ascii="Times New Roman" w:hAnsi="Times New Roman" w:cs="Times New Roman"/>
          <w:sz w:val="24"/>
          <w:szCs w:val="24"/>
        </w:rPr>
        <w:t>are</w:t>
      </w:r>
      <w:r w:rsidRPr="00B63E94">
        <w:rPr>
          <w:rFonts w:ascii="Times New Roman" w:hAnsi="Times New Roman" w:cs="Times New Roman"/>
          <w:sz w:val="24"/>
          <w:szCs w:val="24"/>
        </w:rPr>
        <w:t xml:space="preserve"> based quite explicitly on measures of a person’s </w:t>
      </w:r>
      <w:r w:rsidR="00C518B3" w:rsidRPr="00B63E94">
        <w:rPr>
          <w:rFonts w:ascii="Times New Roman" w:hAnsi="Times New Roman" w:cs="Times New Roman"/>
          <w:sz w:val="24"/>
          <w:szCs w:val="24"/>
        </w:rPr>
        <w:t xml:space="preserve">work capacity or </w:t>
      </w:r>
      <w:r w:rsidRPr="00B63E94">
        <w:rPr>
          <w:rFonts w:ascii="Times New Roman" w:hAnsi="Times New Roman" w:cs="Times New Roman"/>
          <w:sz w:val="24"/>
          <w:szCs w:val="24"/>
        </w:rPr>
        <w:t>‘ability to work’.</w:t>
      </w:r>
    </w:p>
    <w:p w14:paraId="2B0F5175" w14:textId="77777777" w:rsidR="008C16C0" w:rsidRPr="00B63E94" w:rsidRDefault="00BB6098" w:rsidP="00F22086">
      <w:pPr>
        <w:spacing w:line="360" w:lineRule="auto"/>
        <w:jc w:val="both"/>
        <w:rPr>
          <w:rFonts w:ascii="Times New Roman" w:hAnsi="Times New Roman" w:cs="Times New Roman"/>
          <w:sz w:val="24"/>
          <w:szCs w:val="24"/>
          <w:lang w:val="en-US"/>
        </w:rPr>
      </w:pPr>
      <w:r w:rsidRPr="00B63E94">
        <w:rPr>
          <w:rFonts w:ascii="Times New Roman" w:hAnsi="Times New Roman" w:cs="Times New Roman"/>
          <w:sz w:val="24"/>
          <w:szCs w:val="24"/>
          <w:lang w:val="en-US"/>
        </w:rPr>
        <w:t>Early</w:t>
      </w:r>
      <w:r w:rsidR="008C16C0" w:rsidRPr="00B63E94">
        <w:rPr>
          <w:rFonts w:ascii="Times New Roman" w:hAnsi="Times New Roman" w:cs="Times New Roman"/>
          <w:sz w:val="24"/>
          <w:szCs w:val="24"/>
          <w:lang w:val="en-US"/>
        </w:rPr>
        <w:t xml:space="preserve"> proponents of the social model of disability</w:t>
      </w:r>
      <w:r w:rsidR="004E33DE" w:rsidRPr="00B63E94">
        <w:rPr>
          <w:rFonts w:ascii="Times New Roman" w:hAnsi="Times New Roman" w:cs="Times New Roman"/>
          <w:sz w:val="24"/>
          <w:szCs w:val="24"/>
          <w:lang w:val="en-US"/>
        </w:rPr>
        <w:t>,</w:t>
      </w:r>
      <w:r w:rsidR="008C16C0" w:rsidRPr="00B63E94">
        <w:rPr>
          <w:rFonts w:ascii="Times New Roman" w:hAnsi="Times New Roman" w:cs="Times New Roman"/>
          <w:sz w:val="24"/>
          <w:szCs w:val="24"/>
          <w:lang w:val="en-US"/>
        </w:rPr>
        <w:t xml:space="preserve"> </w:t>
      </w:r>
      <w:r w:rsidR="00DA66B3" w:rsidRPr="00B63E94">
        <w:rPr>
          <w:rFonts w:ascii="Times New Roman" w:hAnsi="Times New Roman" w:cs="Times New Roman"/>
          <w:sz w:val="24"/>
          <w:szCs w:val="24"/>
          <w:lang w:val="en-US"/>
        </w:rPr>
        <w:t xml:space="preserve">like Oliver </w:t>
      </w:r>
      <w:r w:rsidR="008C16C0" w:rsidRPr="00B63E94">
        <w:rPr>
          <w:rFonts w:ascii="Times New Roman" w:hAnsi="Times New Roman" w:cs="Times New Roman"/>
          <w:sz w:val="24"/>
          <w:szCs w:val="24"/>
          <w:lang w:val="en-US"/>
        </w:rPr>
        <w:t>(</w:t>
      </w:r>
      <w:r w:rsidR="00DA66B3" w:rsidRPr="00B63E94">
        <w:rPr>
          <w:rFonts w:ascii="Times New Roman" w:hAnsi="Times New Roman" w:cs="Times New Roman"/>
          <w:sz w:val="24"/>
          <w:szCs w:val="24"/>
          <w:highlight w:val="yellow"/>
          <w:lang w:val="en-US"/>
        </w:rPr>
        <w:t xml:space="preserve">see </w:t>
      </w:r>
      <w:proofErr w:type="gramStart"/>
      <w:r w:rsidR="00DA66B3" w:rsidRPr="00B63E94">
        <w:rPr>
          <w:rFonts w:ascii="Times New Roman" w:hAnsi="Times New Roman" w:cs="Times New Roman"/>
          <w:sz w:val="24"/>
          <w:szCs w:val="24"/>
          <w:highlight w:val="yellow"/>
          <w:lang w:val="en-US"/>
        </w:rPr>
        <w:t>chapter ??</w:t>
      </w:r>
      <w:proofErr w:type="gramEnd"/>
      <w:r w:rsidR="00EF190F" w:rsidRPr="00B63E94">
        <w:rPr>
          <w:rFonts w:ascii="Times New Roman" w:hAnsi="Times New Roman" w:cs="Times New Roman"/>
          <w:sz w:val="24"/>
          <w:szCs w:val="24"/>
          <w:highlight w:val="yellow"/>
          <w:lang w:val="en-US"/>
        </w:rPr>
        <w:t xml:space="preserve"> in this volume</w:t>
      </w:r>
      <w:r w:rsidR="008C16C0" w:rsidRPr="00B63E94">
        <w:rPr>
          <w:rFonts w:ascii="Times New Roman" w:hAnsi="Times New Roman" w:cs="Times New Roman"/>
          <w:sz w:val="24"/>
          <w:szCs w:val="24"/>
          <w:lang w:val="en-US"/>
        </w:rPr>
        <w:t>)</w:t>
      </w:r>
      <w:r w:rsidR="004E33DE" w:rsidRPr="00B63E94">
        <w:rPr>
          <w:rFonts w:ascii="Times New Roman" w:hAnsi="Times New Roman" w:cs="Times New Roman"/>
          <w:sz w:val="24"/>
          <w:szCs w:val="24"/>
          <w:lang w:val="en-US"/>
        </w:rPr>
        <w:t>,</w:t>
      </w:r>
      <w:r w:rsidR="008C16C0" w:rsidRPr="00B63E94">
        <w:rPr>
          <w:rFonts w:ascii="Times New Roman" w:hAnsi="Times New Roman" w:cs="Times New Roman"/>
          <w:sz w:val="24"/>
          <w:szCs w:val="24"/>
          <w:lang w:val="en-US"/>
        </w:rPr>
        <w:t xml:space="preserve"> </w:t>
      </w:r>
      <w:r w:rsidR="008B5F54" w:rsidRPr="00B63E94">
        <w:rPr>
          <w:rFonts w:ascii="Times New Roman" w:hAnsi="Times New Roman" w:cs="Times New Roman"/>
          <w:sz w:val="24"/>
          <w:szCs w:val="24"/>
          <w:lang w:val="en-US"/>
        </w:rPr>
        <w:t>viewed</w:t>
      </w:r>
      <w:r w:rsidR="008C16C0" w:rsidRPr="00B63E94">
        <w:rPr>
          <w:rFonts w:ascii="Times New Roman" w:hAnsi="Times New Roman" w:cs="Times New Roman"/>
          <w:sz w:val="24"/>
          <w:szCs w:val="24"/>
          <w:lang w:val="en-US"/>
        </w:rPr>
        <w:t xml:space="preserve"> the social relations of </w:t>
      </w:r>
      <w:r w:rsidR="00DA66B3" w:rsidRPr="00B63E94">
        <w:rPr>
          <w:rFonts w:ascii="Times New Roman" w:hAnsi="Times New Roman" w:cs="Times New Roman"/>
          <w:sz w:val="24"/>
          <w:szCs w:val="24"/>
          <w:lang w:val="en-US"/>
        </w:rPr>
        <w:t xml:space="preserve">competitive </w:t>
      </w:r>
      <w:r w:rsidR="008C16C0" w:rsidRPr="00B63E94">
        <w:rPr>
          <w:rFonts w:ascii="Times New Roman" w:hAnsi="Times New Roman" w:cs="Times New Roman"/>
          <w:sz w:val="24"/>
          <w:szCs w:val="24"/>
          <w:lang w:val="en-US"/>
        </w:rPr>
        <w:t xml:space="preserve">labour markets as </w:t>
      </w:r>
      <w:r w:rsidR="008B5F54" w:rsidRPr="00B63E94">
        <w:rPr>
          <w:rFonts w:ascii="Times New Roman" w:hAnsi="Times New Roman" w:cs="Times New Roman"/>
          <w:sz w:val="24"/>
          <w:szCs w:val="24"/>
          <w:lang w:val="en-US"/>
        </w:rPr>
        <w:t>formative</w:t>
      </w:r>
      <w:r w:rsidR="00C4118C" w:rsidRPr="00B63E94">
        <w:rPr>
          <w:rFonts w:ascii="Times New Roman" w:hAnsi="Times New Roman" w:cs="Times New Roman"/>
          <w:sz w:val="24"/>
          <w:szCs w:val="24"/>
          <w:lang w:val="en-US"/>
        </w:rPr>
        <w:t xml:space="preserve"> to the emergence of</w:t>
      </w:r>
      <w:r w:rsidR="008C16C0" w:rsidRPr="00B63E94">
        <w:rPr>
          <w:rFonts w:ascii="Times New Roman" w:hAnsi="Times New Roman" w:cs="Times New Roman"/>
          <w:sz w:val="24"/>
          <w:szCs w:val="24"/>
          <w:lang w:val="en-US"/>
        </w:rPr>
        <w:t xml:space="preserve"> disability </w:t>
      </w:r>
      <w:r w:rsidR="00C4118C" w:rsidRPr="00B63E94">
        <w:rPr>
          <w:rFonts w:ascii="Times New Roman" w:hAnsi="Times New Roman" w:cs="Times New Roman"/>
          <w:sz w:val="24"/>
          <w:szCs w:val="24"/>
          <w:lang w:val="en-US"/>
        </w:rPr>
        <w:t>as a policy category i</w:t>
      </w:r>
      <w:r w:rsidR="008C16C0" w:rsidRPr="00B63E94">
        <w:rPr>
          <w:rFonts w:ascii="Times New Roman" w:hAnsi="Times New Roman" w:cs="Times New Roman"/>
          <w:sz w:val="24"/>
          <w:szCs w:val="24"/>
          <w:lang w:val="en-US"/>
        </w:rPr>
        <w:t>n capitalist economies.</w:t>
      </w:r>
      <w:r w:rsidR="008C2232" w:rsidRPr="00B63E94">
        <w:rPr>
          <w:rStyle w:val="FootnoteReference"/>
          <w:rFonts w:ascii="Times New Roman" w:hAnsi="Times New Roman" w:cs="Times New Roman"/>
          <w:sz w:val="24"/>
          <w:szCs w:val="24"/>
          <w:lang w:val="en-US"/>
        </w:rPr>
        <w:footnoteReference w:id="4"/>
      </w:r>
      <w:r w:rsidR="008C16C0" w:rsidRPr="00B63E94">
        <w:rPr>
          <w:rFonts w:ascii="Times New Roman" w:hAnsi="Times New Roman" w:cs="Times New Roman"/>
          <w:sz w:val="24"/>
          <w:szCs w:val="24"/>
          <w:lang w:val="en-US"/>
        </w:rPr>
        <w:t xml:space="preserve"> Indeed, Stone argued that the definition of who is included in the </w:t>
      </w:r>
      <w:r w:rsidR="00707822" w:rsidRPr="00B63E94">
        <w:rPr>
          <w:rFonts w:ascii="Times New Roman" w:hAnsi="Times New Roman" w:cs="Times New Roman"/>
          <w:sz w:val="24"/>
          <w:szCs w:val="24"/>
          <w:lang w:val="en-US"/>
        </w:rPr>
        <w:t xml:space="preserve">policy </w:t>
      </w:r>
      <w:r w:rsidR="008C16C0" w:rsidRPr="00B63E94">
        <w:rPr>
          <w:rFonts w:ascii="Times New Roman" w:hAnsi="Times New Roman" w:cs="Times New Roman"/>
          <w:sz w:val="24"/>
          <w:szCs w:val="24"/>
          <w:lang w:val="en-US"/>
        </w:rPr>
        <w:t>category of disabled people flows directly from state interventions to control labour supply.</w:t>
      </w:r>
      <w:r w:rsidR="008C2232" w:rsidRPr="00B63E94">
        <w:rPr>
          <w:rStyle w:val="FootnoteReference"/>
          <w:rFonts w:ascii="Times New Roman" w:hAnsi="Times New Roman" w:cs="Times New Roman"/>
          <w:sz w:val="24"/>
          <w:szCs w:val="24"/>
          <w:lang w:val="en-US"/>
        </w:rPr>
        <w:footnoteReference w:id="5"/>
      </w:r>
      <w:r w:rsidR="008C16C0" w:rsidRPr="00B63E94">
        <w:rPr>
          <w:rFonts w:ascii="Times New Roman" w:hAnsi="Times New Roman" w:cs="Times New Roman"/>
          <w:sz w:val="24"/>
          <w:szCs w:val="24"/>
          <w:lang w:val="en-US"/>
        </w:rPr>
        <w:t xml:space="preserve"> This thesis suggests that, while many people with impairments have been excluded from labour market opportunities, the exact definition of who </w:t>
      </w:r>
      <w:r w:rsidRPr="00B63E94">
        <w:rPr>
          <w:rFonts w:ascii="Times New Roman" w:hAnsi="Times New Roman" w:cs="Times New Roman"/>
          <w:sz w:val="24"/>
          <w:szCs w:val="24"/>
          <w:lang w:val="en-US"/>
        </w:rPr>
        <w:t>should be</w:t>
      </w:r>
      <w:r w:rsidR="008C16C0" w:rsidRPr="00B63E94">
        <w:rPr>
          <w:rFonts w:ascii="Times New Roman" w:hAnsi="Times New Roman" w:cs="Times New Roman"/>
          <w:sz w:val="24"/>
          <w:szCs w:val="24"/>
          <w:lang w:val="en-US"/>
        </w:rPr>
        <w:t xml:space="preserve"> exempt from </w:t>
      </w:r>
      <w:r w:rsidR="00707822" w:rsidRPr="00B63E94">
        <w:rPr>
          <w:rFonts w:ascii="Times New Roman" w:hAnsi="Times New Roman" w:cs="Times New Roman"/>
          <w:sz w:val="24"/>
          <w:szCs w:val="24"/>
          <w:lang w:val="en-US"/>
        </w:rPr>
        <w:t>employment</w:t>
      </w:r>
      <w:r w:rsidR="008C16C0" w:rsidRPr="00B63E94">
        <w:rPr>
          <w:rFonts w:ascii="Times New Roman" w:hAnsi="Times New Roman" w:cs="Times New Roman"/>
          <w:sz w:val="24"/>
          <w:szCs w:val="24"/>
          <w:lang w:val="en-US"/>
        </w:rPr>
        <w:t xml:space="preserve"> obligations changes in response to economic cycles and </w:t>
      </w:r>
      <w:r w:rsidR="00707822" w:rsidRPr="00B63E94">
        <w:rPr>
          <w:rFonts w:ascii="Times New Roman" w:hAnsi="Times New Roman" w:cs="Times New Roman"/>
          <w:sz w:val="24"/>
          <w:szCs w:val="24"/>
          <w:lang w:val="en-US"/>
        </w:rPr>
        <w:t xml:space="preserve">market </w:t>
      </w:r>
      <w:r w:rsidR="008C16C0" w:rsidRPr="00B63E94">
        <w:rPr>
          <w:rFonts w:ascii="Times New Roman" w:hAnsi="Times New Roman" w:cs="Times New Roman"/>
          <w:sz w:val="24"/>
          <w:szCs w:val="24"/>
          <w:lang w:val="en-US"/>
        </w:rPr>
        <w:t xml:space="preserve">demands. This means that laws and policies </w:t>
      </w:r>
      <w:r w:rsidR="00A2390C" w:rsidRPr="00B63E94">
        <w:rPr>
          <w:rFonts w:ascii="Times New Roman" w:hAnsi="Times New Roman" w:cs="Times New Roman"/>
          <w:sz w:val="24"/>
          <w:szCs w:val="24"/>
          <w:lang w:val="en-US"/>
        </w:rPr>
        <w:t>which</w:t>
      </w:r>
      <w:r w:rsidR="00EF190F" w:rsidRPr="00B63E94">
        <w:rPr>
          <w:rFonts w:ascii="Times New Roman" w:hAnsi="Times New Roman" w:cs="Times New Roman"/>
          <w:sz w:val="24"/>
          <w:szCs w:val="24"/>
          <w:lang w:val="en-US"/>
        </w:rPr>
        <w:t xml:space="preserve"> </w:t>
      </w:r>
      <w:r w:rsidR="008C16C0" w:rsidRPr="00B63E94">
        <w:rPr>
          <w:rFonts w:ascii="Times New Roman" w:hAnsi="Times New Roman" w:cs="Times New Roman"/>
          <w:sz w:val="24"/>
          <w:szCs w:val="24"/>
          <w:lang w:val="en-US"/>
        </w:rPr>
        <w:t xml:space="preserve">define people as ‘unable to work’ at times of low demand (e.g. during </w:t>
      </w:r>
      <w:r w:rsidRPr="00B63E94">
        <w:rPr>
          <w:rFonts w:ascii="Times New Roman" w:hAnsi="Times New Roman" w:cs="Times New Roman"/>
          <w:sz w:val="24"/>
          <w:szCs w:val="24"/>
          <w:lang w:val="en-US"/>
        </w:rPr>
        <w:t xml:space="preserve">an </w:t>
      </w:r>
      <w:r w:rsidR="008C16C0" w:rsidRPr="00B63E94">
        <w:rPr>
          <w:rFonts w:ascii="Times New Roman" w:hAnsi="Times New Roman" w:cs="Times New Roman"/>
          <w:sz w:val="24"/>
          <w:szCs w:val="24"/>
          <w:lang w:val="en-US"/>
        </w:rPr>
        <w:t xml:space="preserve">economic recession) may redefine them as able to work at times of labour </w:t>
      </w:r>
      <w:r w:rsidR="00707822" w:rsidRPr="00B63E94">
        <w:rPr>
          <w:rFonts w:ascii="Times New Roman" w:hAnsi="Times New Roman" w:cs="Times New Roman"/>
          <w:sz w:val="24"/>
          <w:szCs w:val="24"/>
          <w:lang w:val="en-US"/>
        </w:rPr>
        <w:t>shortage</w:t>
      </w:r>
      <w:r w:rsidR="008C16C0" w:rsidRPr="00B63E94">
        <w:rPr>
          <w:rFonts w:ascii="Times New Roman" w:hAnsi="Times New Roman" w:cs="Times New Roman"/>
          <w:sz w:val="24"/>
          <w:szCs w:val="24"/>
          <w:lang w:val="en-US"/>
        </w:rPr>
        <w:t xml:space="preserve"> (e.g. during rapid economic growth). </w:t>
      </w:r>
      <w:r w:rsidR="000D452F" w:rsidRPr="00B63E94">
        <w:rPr>
          <w:rFonts w:ascii="Times New Roman" w:hAnsi="Times New Roman" w:cs="Times New Roman"/>
          <w:sz w:val="24"/>
          <w:szCs w:val="24"/>
          <w:lang w:val="en-US"/>
        </w:rPr>
        <w:t>L</w:t>
      </w:r>
      <w:r w:rsidR="008C16C0" w:rsidRPr="00B63E94">
        <w:rPr>
          <w:rFonts w:ascii="Times New Roman" w:hAnsi="Times New Roman" w:cs="Times New Roman"/>
          <w:sz w:val="24"/>
          <w:szCs w:val="24"/>
          <w:lang w:val="en-US"/>
        </w:rPr>
        <w:t xml:space="preserve">egal definitions of </w:t>
      </w:r>
      <w:r w:rsidR="00DE74D9" w:rsidRPr="00B63E94">
        <w:rPr>
          <w:rFonts w:ascii="Times New Roman" w:hAnsi="Times New Roman" w:cs="Times New Roman"/>
          <w:sz w:val="24"/>
          <w:szCs w:val="24"/>
          <w:lang w:val="en-US"/>
        </w:rPr>
        <w:t xml:space="preserve">disabled people’s </w:t>
      </w:r>
      <w:r w:rsidR="008C16C0" w:rsidRPr="00B63E94">
        <w:rPr>
          <w:rFonts w:ascii="Times New Roman" w:hAnsi="Times New Roman" w:cs="Times New Roman"/>
          <w:sz w:val="24"/>
          <w:szCs w:val="24"/>
          <w:lang w:val="en-US"/>
        </w:rPr>
        <w:t>rights and responsibilities to work are</w:t>
      </w:r>
      <w:r w:rsidR="000D452F" w:rsidRPr="00B63E94">
        <w:rPr>
          <w:rFonts w:ascii="Times New Roman" w:hAnsi="Times New Roman" w:cs="Times New Roman"/>
          <w:sz w:val="24"/>
          <w:szCs w:val="24"/>
          <w:lang w:val="en-US"/>
        </w:rPr>
        <w:t xml:space="preserve">, in this sense, </w:t>
      </w:r>
      <w:r w:rsidR="008C16C0" w:rsidRPr="00B63E94">
        <w:rPr>
          <w:rFonts w:ascii="Times New Roman" w:hAnsi="Times New Roman" w:cs="Times New Roman"/>
          <w:sz w:val="24"/>
          <w:szCs w:val="24"/>
          <w:lang w:val="en-US"/>
        </w:rPr>
        <w:t xml:space="preserve">rather </w:t>
      </w:r>
      <w:r w:rsidR="008C16C0" w:rsidRPr="00B63E94">
        <w:rPr>
          <w:rFonts w:ascii="Times New Roman" w:hAnsi="Times New Roman" w:cs="Times New Roman"/>
          <w:sz w:val="24"/>
          <w:szCs w:val="24"/>
          <w:lang w:val="en-US"/>
        </w:rPr>
        <w:lastRenderedPageBreak/>
        <w:t>‘elastic’</w:t>
      </w:r>
      <w:r w:rsidR="008C2232" w:rsidRPr="00B63E94">
        <w:rPr>
          <w:rStyle w:val="FootnoteReference"/>
          <w:rFonts w:ascii="Times New Roman" w:hAnsi="Times New Roman" w:cs="Times New Roman"/>
          <w:sz w:val="24"/>
          <w:szCs w:val="24"/>
          <w:lang w:val="en-US"/>
        </w:rPr>
        <w:footnoteReference w:id="6"/>
      </w:r>
      <w:r w:rsidR="008C16C0" w:rsidRPr="00B63E94">
        <w:rPr>
          <w:rFonts w:ascii="Times New Roman" w:hAnsi="Times New Roman" w:cs="Times New Roman"/>
          <w:sz w:val="24"/>
          <w:szCs w:val="24"/>
        </w:rPr>
        <w:t xml:space="preserve"> and vary between different countries </w:t>
      </w:r>
      <w:r w:rsidR="00DE74D9" w:rsidRPr="00B63E94">
        <w:rPr>
          <w:rFonts w:ascii="Times New Roman" w:hAnsi="Times New Roman" w:cs="Times New Roman"/>
          <w:sz w:val="24"/>
          <w:szCs w:val="24"/>
        </w:rPr>
        <w:t>and</w:t>
      </w:r>
      <w:r w:rsidR="008C16C0" w:rsidRPr="00B63E94">
        <w:rPr>
          <w:rFonts w:ascii="Times New Roman" w:hAnsi="Times New Roman" w:cs="Times New Roman"/>
          <w:sz w:val="24"/>
          <w:szCs w:val="24"/>
        </w:rPr>
        <w:t xml:space="preserve"> at different points in time</w:t>
      </w:r>
      <w:r w:rsidR="008C16C0" w:rsidRPr="00B63E94">
        <w:rPr>
          <w:rFonts w:ascii="Times New Roman" w:hAnsi="Times New Roman" w:cs="Times New Roman"/>
          <w:sz w:val="24"/>
          <w:szCs w:val="24"/>
          <w:lang w:val="en-US"/>
        </w:rPr>
        <w:t>.</w:t>
      </w:r>
      <w:r w:rsidR="000D452F" w:rsidRPr="00B63E94">
        <w:rPr>
          <w:rFonts w:ascii="Times New Roman" w:hAnsi="Times New Roman" w:cs="Times New Roman"/>
          <w:sz w:val="24"/>
          <w:szCs w:val="24"/>
          <w:lang w:val="en-US"/>
        </w:rPr>
        <w:t xml:space="preserve"> </w:t>
      </w:r>
      <w:r w:rsidR="009F4AFD" w:rsidRPr="00B63E94">
        <w:rPr>
          <w:rFonts w:ascii="Times New Roman" w:hAnsi="Times New Roman" w:cs="Times New Roman"/>
          <w:sz w:val="24"/>
          <w:szCs w:val="24"/>
          <w:lang w:val="en-US"/>
        </w:rPr>
        <w:t>Yet</w:t>
      </w:r>
      <w:r w:rsidR="000D452F" w:rsidRPr="00B63E94">
        <w:rPr>
          <w:rFonts w:ascii="Times New Roman" w:hAnsi="Times New Roman" w:cs="Times New Roman"/>
          <w:sz w:val="24"/>
          <w:szCs w:val="24"/>
          <w:lang w:val="en-US"/>
        </w:rPr>
        <w:t xml:space="preserve"> research evidence from </w:t>
      </w:r>
      <w:r w:rsidR="009F4AFD" w:rsidRPr="00B63E94">
        <w:rPr>
          <w:rFonts w:ascii="Times New Roman" w:hAnsi="Times New Roman" w:cs="Times New Roman"/>
          <w:sz w:val="24"/>
          <w:szCs w:val="24"/>
          <w:lang w:val="en-US"/>
        </w:rPr>
        <w:t xml:space="preserve">countries </w:t>
      </w:r>
      <w:r w:rsidR="000D452F" w:rsidRPr="00B63E94">
        <w:rPr>
          <w:rFonts w:ascii="Times New Roman" w:hAnsi="Times New Roman" w:cs="Times New Roman"/>
          <w:sz w:val="24"/>
          <w:szCs w:val="24"/>
          <w:lang w:val="en-US"/>
        </w:rPr>
        <w:t xml:space="preserve">across the world shows that disabled </w:t>
      </w:r>
      <w:proofErr w:type="gramStart"/>
      <w:r w:rsidR="000D452F" w:rsidRPr="00B63E94">
        <w:rPr>
          <w:rFonts w:ascii="Times New Roman" w:hAnsi="Times New Roman" w:cs="Times New Roman"/>
          <w:sz w:val="24"/>
          <w:szCs w:val="24"/>
          <w:lang w:val="en-US"/>
        </w:rPr>
        <w:t>adults,</w:t>
      </w:r>
      <w:proofErr w:type="gramEnd"/>
      <w:r w:rsidR="000D452F" w:rsidRPr="00B63E94">
        <w:rPr>
          <w:rFonts w:ascii="Times New Roman" w:hAnsi="Times New Roman" w:cs="Times New Roman"/>
          <w:sz w:val="24"/>
          <w:szCs w:val="24"/>
          <w:lang w:val="en-US"/>
        </w:rPr>
        <w:t xml:space="preserve"> and disabled women in particular, </w:t>
      </w:r>
      <w:r w:rsidR="009F4AFD" w:rsidRPr="00B63E94">
        <w:rPr>
          <w:rFonts w:ascii="Times New Roman" w:hAnsi="Times New Roman" w:cs="Times New Roman"/>
          <w:sz w:val="24"/>
          <w:szCs w:val="24"/>
          <w:lang w:val="en-US"/>
        </w:rPr>
        <w:t>remain</w:t>
      </w:r>
      <w:r w:rsidR="000D452F" w:rsidRPr="00B63E94">
        <w:rPr>
          <w:rFonts w:ascii="Times New Roman" w:hAnsi="Times New Roman" w:cs="Times New Roman"/>
          <w:sz w:val="24"/>
          <w:szCs w:val="24"/>
          <w:lang w:val="en-US"/>
        </w:rPr>
        <w:t xml:space="preserve"> disproportionately unemployed, underemployed and underpaid compared to their non-disabled peers.</w:t>
      </w:r>
      <w:r w:rsidR="00EF190F" w:rsidRPr="00B63E94">
        <w:rPr>
          <w:rStyle w:val="FootnoteReference"/>
          <w:rFonts w:ascii="Times New Roman" w:hAnsi="Times New Roman" w:cs="Times New Roman"/>
          <w:sz w:val="24"/>
          <w:szCs w:val="24"/>
          <w:lang w:val="en-US"/>
        </w:rPr>
        <w:footnoteReference w:id="7"/>
      </w:r>
      <w:r w:rsidR="009F4AFD" w:rsidRPr="00B63E94">
        <w:rPr>
          <w:rFonts w:ascii="Times New Roman" w:hAnsi="Times New Roman" w:cs="Times New Roman"/>
          <w:sz w:val="24"/>
          <w:szCs w:val="24"/>
          <w:lang w:val="en-US"/>
        </w:rPr>
        <w:t xml:space="preserve"> </w:t>
      </w:r>
      <w:r w:rsidR="00CF7E78" w:rsidRPr="00B63E94">
        <w:rPr>
          <w:rFonts w:ascii="Times New Roman" w:hAnsi="Times New Roman" w:cs="Times New Roman"/>
          <w:sz w:val="24"/>
          <w:szCs w:val="24"/>
          <w:lang w:val="en-US"/>
        </w:rPr>
        <w:t>Moreover, d</w:t>
      </w:r>
      <w:r w:rsidR="009F4AFD" w:rsidRPr="00B63E94">
        <w:rPr>
          <w:rFonts w:ascii="Times New Roman" w:hAnsi="Times New Roman" w:cs="Times New Roman"/>
          <w:sz w:val="24"/>
          <w:szCs w:val="24"/>
          <w:lang w:val="en-US"/>
        </w:rPr>
        <w:t xml:space="preserve">espite the </w:t>
      </w:r>
      <w:r w:rsidR="00A2390C" w:rsidRPr="00B63E94">
        <w:rPr>
          <w:rFonts w:ascii="Times New Roman" w:hAnsi="Times New Roman" w:cs="Times New Roman"/>
          <w:sz w:val="24"/>
          <w:szCs w:val="24"/>
          <w:lang w:val="en-US"/>
        </w:rPr>
        <w:t>adoption</w:t>
      </w:r>
      <w:r w:rsidR="009F4AFD" w:rsidRPr="00B63E94">
        <w:rPr>
          <w:rFonts w:ascii="Times New Roman" w:hAnsi="Times New Roman" w:cs="Times New Roman"/>
          <w:sz w:val="24"/>
          <w:szCs w:val="24"/>
          <w:lang w:val="en-US"/>
        </w:rPr>
        <w:t xml:space="preserve"> of non-discrimination laws over the past 25 years</w:t>
      </w:r>
      <w:r w:rsidR="00CF7E78" w:rsidRPr="00B63E94">
        <w:rPr>
          <w:rFonts w:ascii="Times New Roman" w:hAnsi="Times New Roman" w:cs="Times New Roman"/>
          <w:sz w:val="24"/>
          <w:szCs w:val="24"/>
          <w:lang w:val="en-US"/>
        </w:rPr>
        <w:t>,</w:t>
      </w:r>
      <w:r w:rsidR="009F4AFD" w:rsidRPr="00B63E94">
        <w:rPr>
          <w:rFonts w:ascii="Times New Roman" w:hAnsi="Times New Roman" w:cs="Times New Roman"/>
          <w:sz w:val="24"/>
          <w:szCs w:val="24"/>
          <w:lang w:val="en-US"/>
        </w:rPr>
        <w:t xml:space="preserve"> there has been </w:t>
      </w:r>
      <w:r w:rsidRPr="00B63E94">
        <w:rPr>
          <w:rFonts w:ascii="Times New Roman" w:hAnsi="Times New Roman" w:cs="Times New Roman"/>
          <w:sz w:val="24"/>
          <w:szCs w:val="24"/>
          <w:lang w:val="en-US"/>
        </w:rPr>
        <w:t>little</w:t>
      </w:r>
      <w:r w:rsidR="009F4AFD" w:rsidRPr="00B63E94">
        <w:rPr>
          <w:rFonts w:ascii="Times New Roman" w:hAnsi="Times New Roman" w:cs="Times New Roman"/>
          <w:sz w:val="24"/>
          <w:szCs w:val="24"/>
          <w:lang w:val="en-US"/>
        </w:rPr>
        <w:t xml:space="preserve"> evidence of any dramatic improvement in this disparity</w:t>
      </w:r>
      <w:r w:rsidR="00781CBF" w:rsidRPr="00B63E94">
        <w:rPr>
          <w:rFonts w:ascii="Times New Roman" w:hAnsi="Times New Roman" w:cs="Times New Roman"/>
          <w:sz w:val="24"/>
          <w:szCs w:val="24"/>
          <w:lang w:val="en-US"/>
        </w:rPr>
        <w:t>.</w:t>
      </w:r>
      <w:r w:rsidR="008C2232" w:rsidRPr="00B63E94">
        <w:rPr>
          <w:rStyle w:val="FootnoteReference"/>
          <w:rFonts w:ascii="Times New Roman" w:hAnsi="Times New Roman" w:cs="Times New Roman"/>
          <w:sz w:val="24"/>
          <w:szCs w:val="24"/>
          <w:lang w:val="en-US"/>
        </w:rPr>
        <w:footnoteReference w:id="8"/>
      </w:r>
    </w:p>
    <w:p w14:paraId="05B4AE01" w14:textId="4BAA5131" w:rsidR="00465742" w:rsidRPr="00B63E94" w:rsidRDefault="00465742"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Th</w:t>
      </w:r>
      <w:r w:rsidR="00DC18E6" w:rsidRPr="00B63E94">
        <w:rPr>
          <w:rFonts w:ascii="Times New Roman" w:eastAsia="Times New Roman" w:hAnsi="Times New Roman" w:cs="Times New Roman"/>
          <w:sz w:val="24"/>
          <w:szCs w:val="24"/>
          <w:lang w:val="en-US" w:eastAsia="en-US"/>
        </w:rPr>
        <w:t>e</w:t>
      </w:r>
      <w:r w:rsidRPr="00B63E94">
        <w:rPr>
          <w:rFonts w:ascii="Times New Roman" w:eastAsia="Times New Roman" w:hAnsi="Times New Roman" w:cs="Times New Roman"/>
          <w:sz w:val="24"/>
          <w:szCs w:val="24"/>
          <w:lang w:val="en-US" w:eastAsia="en-US"/>
        </w:rPr>
        <w:t xml:space="preserve"> centrality of work to our historic understanding of </w:t>
      </w:r>
      <w:r w:rsidR="00B11CA0" w:rsidRPr="00B63E94">
        <w:rPr>
          <w:rFonts w:ascii="Times New Roman" w:eastAsia="Times New Roman" w:hAnsi="Times New Roman" w:cs="Times New Roman"/>
          <w:sz w:val="24"/>
          <w:szCs w:val="24"/>
          <w:lang w:val="en-US" w:eastAsia="en-US"/>
        </w:rPr>
        <w:t xml:space="preserve">what </w:t>
      </w:r>
      <w:r w:rsidRPr="00B63E94">
        <w:rPr>
          <w:rFonts w:ascii="Times New Roman" w:eastAsia="Times New Roman" w:hAnsi="Times New Roman" w:cs="Times New Roman"/>
          <w:sz w:val="24"/>
          <w:szCs w:val="24"/>
          <w:lang w:val="en-US" w:eastAsia="en-US"/>
        </w:rPr>
        <w:t xml:space="preserve">disability </w:t>
      </w:r>
      <w:r w:rsidR="00B11CA0" w:rsidRPr="00B63E94">
        <w:rPr>
          <w:rFonts w:ascii="Times New Roman" w:eastAsia="Times New Roman" w:hAnsi="Times New Roman" w:cs="Times New Roman"/>
          <w:sz w:val="24"/>
          <w:szCs w:val="24"/>
          <w:lang w:val="en-US" w:eastAsia="en-US"/>
        </w:rPr>
        <w:t xml:space="preserve">means </w:t>
      </w:r>
      <w:r w:rsidRPr="00B63E94">
        <w:rPr>
          <w:rFonts w:ascii="Times New Roman" w:eastAsia="Times New Roman" w:hAnsi="Times New Roman" w:cs="Times New Roman"/>
          <w:sz w:val="24"/>
          <w:szCs w:val="24"/>
          <w:lang w:val="en-US" w:eastAsia="en-US"/>
        </w:rPr>
        <w:t xml:space="preserve">is underlined by the extent to which </w:t>
      </w:r>
      <w:r w:rsidR="00C4118C" w:rsidRPr="00B63E94">
        <w:rPr>
          <w:rFonts w:ascii="Times New Roman" w:eastAsia="Times New Roman" w:hAnsi="Times New Roman" w:cs="Times New Roman"/>
          <w:sz w:val="24"/>
          <w:szCs w:val="24"/>
          <w:lang w:val="en-US" w:eastAsia="en-US"/>
        </w:rPr>
        <w:t>exclusion</w:t>
      </w:r>
      <w:r w:rsidRPr="00B63E94">
        <w:rPr>
          <w:rFonts w:ascii="Times New Roman" w:eastAsia="Times New Roman" w:hAnsi="Times New Roman" w:cs="Times New Roman"/>
          <w:sz w:val="24"/>
          <w:szCs w:val="24"/>
          <w:lang w:val="en-US" w:eastAsia="en-US"/>
        </w:rPr>
        <w:t xml:space="preserve"> from the labour market</w:t>
      </w:r>
      <w:r w:rsidR="00C4118C" w:rsidRPr="00B63E94">
        <w:rPr>
          <w:rFonts w:ascii="Times New Roman" w:eastAsia="Times New Roman" w:hAnsi="Times New Roman" w:cs="Times New Roman"/>
          <w:sz w:val="24"/>
          <w:szCs w:val="24"/>
          <w:lang w:val="en-US" w:eastAsia="en-US"/>
        </w:rPr>
        <w:t xml:space="preserve"> affects </w:t>
      </w:r>
      <w:r w:rsidR="00DC18E6" w:rsidRPr="00B63E94">
        <w:rPr>
          <w:rFonts w:ascii="Times New Roman" w:eastAsia="Times New Roman" w:hAnsi="Times New Roman" w:cs="Times New Roman"/>
          <w:sz w:val="24"/>
          <w:szCs w:val="24"/>
          <w:lang w:val="en-US" w:eastAsia="en-US"/>
        </w:rPr>
        <w:t xml:space="preserve">people’s </w:t>
      </w:r>
      <w:r w:rsidR="00C4118C" w:rsidRPr="00B63E94">
        <w:rPr>
          <w:rFonts w:ascii="Times New Roman" w:eastAsia="Times New Roman" w:hAnsi="Times New Roman" w:cs="Times New Roman"/>
          <w:sz w:val="24"/>
          <w:szCs w:val="24"/>
          <w:lang w:val="en-US" w:eastAsia="en-US"/>
        </w:rPr>
        <w:t>opportunities across the life course</w:t>
      </w:r>
      <w:r w:rsidRPr="00B63E94">
        <w:rPr>
          <w:rFonts w:ascii="Times New Roman" w:eastAsia="Times New Roman" w:hAnsi="Times New Roman" w:cs="Times New Roman"/>
          <w:sz w:val="24"/>
          <w:szCs w:val="24"/>
          <w:lang w:val="en-US" w:eastAsia="en-US"/>
        </w:rPr>
        <w:t>.</w:t>
      </w:r>
      <w:r w:rsidR="008C2232" w:rsidRPr="00B63E94">
        <w:rPr>
          <w:rStyle w:val="FootnoteReference"/>
          <w:rFonts w:ascii="Times New Roman" w:eastAsia="Times New Roman" w:hAnsi="Times New Roman" w:cs="Times New Roman"/>
          <w:sz w:val="24"/>
          <w:szCs w:val="24"/>
          <w:lang w:val="en-US" w:eastAsia="en-US"/>
        </w:rPr>
        <w:footnoteReference w:id="9"/>
      </w:r>
      <w:r w:rsidRPr="00B63E94">
        <w:rPr>
          <w:rFonts w:ascii="Times New Roman" w:eastAsia="Times New Roman" w:hAnsi="Times New Roman" w:cs="Times New Roman"/>
          <w:sz w:val="24"/>
          <w:szCs w:val="24"/>
          <w:lang w:val="en-US" w:eastAsia="en-US"/>
        </w:rPr>
        <w:t xml:space="preserve"> For example, in framing the ‘fundamental principles’</w:t>
      </w:r>
      <w:r w:rsidR="00DC18E6" w:rsidRPr="00B63E94">
        <w:rPr>
          <w:rFonts w:ascii="Times New Roman" w:eastAsia="Times New Roman" w:hAnsi="Times New Roman" w:cs="Times New Roman"/>
          <w:sz w:val="24"/>
          <w:szCs w:val="24"/>
          <w:lang w:val="en-US" w:eastAsia="en-US"/>
        </w:rPr>
        <w:t xml:space="preserve"> that</w:t>
      </w:r>
      <w:r w:rsidR="00C4118C"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would </w:t>
      </w:r>
      <w:r w:rsidR="00C4118C" w:rsidRPr="00B63E94">
        <w:rPr>
          <w:rFonts w:ascii="Times New Roman" w:eastAsia="Times New Roman" w:hAnsi="Times New Roman" w:cs="Times New Roman"/>
          <w:sz w:val="24"/>
          <w:szCs w:val="24"/>
          <w:lang w:val="en-US" w:eastAsia="en-US"/>
        </w:rPr>
        <w:t xml:space="preserve">be </w:t>
      </w:r>
      <w:r w:rsidRPr="00B63E94">
        <w:rPr>
          <w:rFonts w:ascii="Times New Roman" w:eastAsia="Times New Roman" w:hAnsi="Times New Roman" w:cs="Times New Roman"/>
          <w:sz w:val="24"/>
          <w:szCs w:val="24"/>
          <w:lang w:val="en-US" w:eastAsia="en-US"/>
        </w:rPr>
        <w:t xml:space="preserve">later </w:t>
      </w:r>
      <w:r w:rsidR="00C4118C" w:rsidRPr="00B63E94">
        <w:rPr>
          <w:rFonts w:ascii="Times New Roman" w:eastAsia="Times New Roman" w:hAnsi="Times New Roman" w:cs="Times New Roman"/>
          <w:sz w:val="24"/>
          <w:szCs w:val="24"/>
          <w:lang w:val="en-US" w:eastAsia="en-US"/>
        </w:rPr>
        <w:t>transposed</w:t>
      </w:r>
      <w:r w:rsidRPr="00B63E94">
        <w:rPr>
          <w:rFonts w:ascii="Times New Roman" w:eastAsia="Times New Roman" w:hAnsi="Times New Roman" w:cs="Times New Roman"/>
          <w:sz w:val="24"/>
          <w:szCs w:val="24"/>
          <w:lang w:val="en-US" w:eastAsia="en-US"/>
        </w:rPr>
        <w:t xml:space="preserve"> into </w:t>
      </w:r>
      <w:r w:rsidR="00C4118C" w:rsidRPr="00B63E94">
        <w:rPr>
          <w:rFonts w:ascii="Times New Roman" w:eastAsia="Times New Roman" w:hAnsi="Times New Roman" w:cs="Times New Roman"/>
          <w:sz w:val="24"/>
          <w:szCs w:val="24"/>
          <w:lang w:val="en-US" w:eastAsia="en-US"/>
        </w:rPr>
        <w:t>the</w:t>
      </w:r>
      <w:r w:rsidRPr="00B63E94">
        <w:rPr>
          <w:rFonts w:ascii="Times New Roman" w:eastAsia="Times New Roman" w:hAnsi="Times New Roman" w:cs="Times New Roman"/>
          <w:sz w:val="24"/>
          <w:szCs w:val="24"/>
          <w:lang w:val="en-US" w:eastAsia="en-US"/>
        </w:rPr>
        <w:t xml:space="preserve"> social model of disability</w:t>
      </w:r>
      <w:r w:rsidR="00C4118C" w:rsidRPr="00B63E94">
        <w:rPr>
          <w:rFonts w:ascii="Times New Roman" w:eastAsia="Times New Roman" w:hAnsi="Times New Roman" w:cs="Times New Roman"/>
          <w:sz w:val="24"/>
          <w:szCs w:val="24"/>
          <w:lang w:val="en-US" w:eastAsia="en-US"/>
        </w:rPr>
        <w:t>,</w:t>
      </w:r>
      <w:r w:rsidRPr="00B63E94">
        <w:rPr>
          <w:rFonts w:ascii="Times New Roman" w:eastAsia="Times New Roman" w:hAnsi="Times New Roman" w:cs="Times New Roman"/>
          <w:sz w:val="24"/>
          <w:szCs w:val="24"/>
          <w:lang w:val="en-US" w:eastAsia="en-US"/>
        </w:rPr>
        <w:t xml:space="preserve"> the Union of Physically Impaired Against Segregation argued in the 1970s that:</w:t>
      </w:r>
    </w:p>
    <w:p w14:paraId="7F840E30" w14:textId="77777777" w:rsidR="00465742" w:rsidRPr="00B63E94" w:rsidRDefault="00465742" w:rsidP="00F22086">
      <w:pPr>
        <w:pStyle w:val="Quote"/>
        <w:spacing w:line="360" w:lineRule="auto"/>
        <w:jc w:val="both"/>
        <w:rPr>
          <w:rFonts w:ascii="Times New Roman" w:hAnsi="Times New Roman" w:cs="Times New Roman"/>
          <w:sz w:val="24"/>
          <w:szCs w:val="24"/>
          <w:lang w:eastAsia="en-US"/>
        </w:rPr>
      </w:pPr>
      <w:r w:rsidRPr="00B63E94">
        <w:rPr>
          <w:rFonts w:ascii="Times New Roman" w:hAnsi="Times New Roman" w:cs="Times New Roman"/>
          <w:sz w:val="24"/>
          <w:szCs w:val="24"/>
          <w:lang w:eastAsia="en-US"/>
        </w:rPr>
        <w:t xml:space="preserve">…the struggle to achieve integration into ordinary employment is the most vital part of the struggle to change the organisation of society so that physically impaired people are no longer impoverished through exclusion from full participation. Only when all physically impaired people of working age are as a matter of course helped to make whatever contribution they can in ordinary work situations, will secure foundations for full integration in society as a whole be laid. All the other situations from which </w:t>
      </w:r>
      <w:r w:rsidRPr="00B63E94">
        <w:rPr>
          <w:rFonts w:ascii="Times New Roman" w:hAnsi="Times New Roman" w:cs="Times New Roman"/>
          <w:sz w:val="24"/>
          <w:szCs w:val="24"/>
        </w:rPr>
        <w:t>physically</w:t>
      </w:r>
      <w:r w:rsidRPr="00B63E94">
        <w:rPr>
          <w:rFonts w:ascii="Times New Roman" w:hAnsi="Times New Roman" w:cs="Times New Roman"/>
          <w:sz w:val="24"/>
          <w:szCs w:val="24"/>
          <w:lang w:eastAsia="en-US"/>
        </w:rPr>
        <w:t xml:space="preserve"> impaired people are excluded are linked, in the final analysis, with the basic exclusion from employment.</w:t>
      </w:r>
      <w:r w:rsidR="008C2232" w:rsidRPr="00B63E94">
        <w:rPr>
          <w:rStyle w:val="FootnoteReference"/>
          <w:rFonts w:ascii="Times New Roman" w:hAnsi="Times New Roman" w:cs="Times New Roman"/>
          <w:sz w:val="24"/>
          <w:szCs w:val="24"/>
          <w:lang w:eastAsia="en-US"/>
        </w:rPr>
        <w:footnoteReference w:id="10"/>
      </w:r>
    </w:p>
    <w:p w14:paraId="08213FA0" w14:textId="77777777" w:rsidR="00496641" w:rsidRPr="00B63E94" w:rsidRDefault="00B47C45"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Th</w:t>
      </w:r>
      <w:r w:rsidR="00AD19DA" w:rsidRPr="00B63E94">
        <w:rPr>
          <w:rFonts w:ascii="Times New Roman" w:eastAsia="Times New Roman" w:hAnsi="Times New Roman" w:cs="Times New Roman"/>
          <w:sz w:val="24"/>
          <w:szCs w:val="24"/>
          <w:lang w:val="en-US" w:eastAsia="en-US"/>
        </w:rPr>
        <w:t>is</w:t>
      </w:r>
      <w:r w:rsidRPr="00B63E94">
        <w:rPr>
          <w:rFonts w:ascii="Times New Roman" w:eastAsia="Times New Roman" w:hAnsi="Times New Roman" w:cs="Times New Roman"/>
          <w:sz w:val="24"/>
          <w:szCs w:val="24"/>
          <w:lang w:val="en-US" w:eastAsia="en-US"/>
        </w:rPr>
        <w:t xml:space="preserve"> strong</w:t>
      </w:r>
      <w:r w:rsidR="00496641" w:rsidRPr="00B63E94">
        <w:rPr>
          <w:rFonts w:ascii="Times New Roman" w:eastAsia="Times New Roman" w:hAnsi="Times New Roman" w:cs="Times New Roman"/>
          <w:sz w:val="24"/>
          <w:szCs w:val="24"/>
          <w:lang w:val="en-US" w:eastAsia="en-US"/>
        </w:rPr>
        <w:t xml:space="preserve"> emphasis </w:t>
      </w:r>
      <w:r w:rsidRPr="00B63E94">
        <w:rPr>
          <w:rFonts w:ascii="Times New Roman" w:eastAsia="Times New Roman" w:hAnsi="Times New Roman" w:cs="Times New Roman"/>
          <w:sz w:val="24"/>
          <w:szCs w:val="24"/>
          <w:lang w:val="en-US" w:eastAsia="en-US"/>
        </w:rPr>
        <w:t xml:space="preserve">placed on paid </w:t>
      </w:r>
      <w:r w:rsidR="00781CBF" w:rsidRPr="00B63E94">
        <w:rPr>
          <w:rFonts w:ascii="Times New Roman" w:eastAsia="Times New Roman" w:hAnsi="Times New Roman" w:cs="Times New Roman"/>
          <w:sz w:val="24"/>
          <w:szCs w:val="24"/>
          <w:lang w:val="en-US" w:eastAsia="en-US"/>
        </w:rPr>
        <w:t>employment</w:t>
      </w:r>
      <w:r w:rsidRPr="00B63E94">
        <w:rPr>
          <w:rFonts w:ascii="Times New Roman" w:eastAsia="Times New Roman" w:hAnsi="Times New Roman" w:cs="Times New Roman"/>
          <w:sz w:val="24"/>
          <w:szCs w:val="24"/>
          <w:lang w:val="en-US" w:eastAsia="en-US"/>
        </w:rPr>
        <w:t xml:space="preserve"> </w:t>
      </w:r>
      <w:r w:rsidR="00496641" w:rsidRPr="00B63E94">
        <w:rPr>
          <w:rFonts w:ascii="Times New Roman" w:eastAsia="Times New Roman" w:hAnsi="Times New Roman" w:cs="Times New Roman"/>
          <w:sz w:val="24"/>
          <w:szCs w:val="24"/>
          <w:lang w:val="en-US" w:eastAsia="en-US"/>
        </w:rPr>
        <w:t>underlin</w:t>
      </w:r>
      <w:r w:rsidRPr="00B63E94">
        <w:rPr>
          <w:rFonts w:ascii="Times New Roman" w:eastAsia="Times New Roman" w:hAnsi="Times New Roman" w:cs="Times New Roman"/>
          <w:sz w:val="24"/>
          <w:szCs w:val="24"/>
          <w:lang w:val="en-US" w:eastAsia="en-US"/>
        </w:rPr>
        <w:t>es</w:t>
      </w:r>
      <w:r w:rsidR="00496641" w:rsidRPr="00B63E94">
        <w:rPr>
          <w:rFonts w:ascii="Times New Roman" w:eastAsia="Times New Roman" w:hAnsi="Times New Roman" w:cs="Times New Roman"/>
          <w:sz w:val="24"/>
          <w:szCs w:val="24"/>
          <w:lang w:val="en-US" w:eastAsia="en-US"/>
        </w:rPr>
        <w:t xml:space="preserve"> the </w:t>
      </w:r>
      <w:r w:rsidR="00781CBF" w:rsidRPr="00B63E94">
        <w:rPr>
          <w:rFonts w:ascii="Times New Roman" w:eastAsia="Times New Roman" w:hAnsi="Times New Roman" w:cs="Times New Roman"/>
          <w:sz w:val="24"/>
          <w:szCs w:val="24"/>
          <w:lang w:val="en-US" w:eastAsia="en-US"/>
        </w:rPr>
        <w:t>importance</w:t>
      </w:r>
      <w:r w:rsidR="00496641" w:rsidRPr="00B63E94">
        <w:rPr>
          <w:rFonts w:ascii="Times New Roman" w:eastAsia="Times New Roman" w:hAnsi="Times New Roman" w:cs="Times New Roman"/>
          <w:sz w:val="24"/>
          <w:szCs w:val="24"/>
          <w:lang w:val="en-US" w:eastAsia="en-US"/>
        </w:rPr>
        <w:t xml:space="preserve"> </w:t>
      </w:r>
      <w:r w:rsidR="00781CBF" w:rsidRPr="00B63E94">
        <w:rPr>
          <w:rFonts w:ascii="Times New Roman" w:eastAsia="Times New Roman" w:hAnsi="Times New Roman" w:cs="Times New Roman"/>
          <w:sz w:val="24"/>
          <w:szCs w:val="24"/>
          <w:lang w:val="en-US" w:eastAsia="en-US"/>
        </w:rPr>
        <w:t>that is attached</w:t>
      </w:r>
      <w:r w:rsidRPr="00B63E94">
        <w:rPr>
          <w:rFonts w:ascii="Times New Roman" w:eastAsia="Times New Roman" w:hAnsi="Times New Roman" w:cs="Times New Roman"/>
          <w:sz w:val="24"/>
          <w:szCs w:val="24"/>
          <w:lang w:val="en-US" w:eastAsia="en-US"/>
        </w:rPr>
        <w:t xml:space="preserve"> to </w:t>
      </w:r>
      <w:r w:rsidR="00496641" w:rsidRPr="00B63E94">
        <w:rPr>
          <w:rFonts w:ascii="Times New Roman" w:eastAsia="Times New Roman" w:hAnsi="Times New Roman" w:cs="Times New Roman"/>
          <w:sz w:val="24"/>
          <w:szCs w:val="24"/>
          <w:lang w:val="en-US" w:eastAsia="en-US"/>
        </w:rPr>
        <w:t xml:space="preserve">socially valued work in </w:t>
      </w:r>
      <w:r w:rsidR="0089011D" w:rsidRPr="00B63E94">
        <w:rPr>
          <w:rFonts w:ascii="Times New Roman" w:eastAsia="Times New Roman" w:hAnsi="Times New Roman" w:cs="Times New Roman"/>
          <w:sz w:val="24"/>
          <w:szCs w:val="24"/>
          <w:lang w:val="en-US" w:eastAsia="en-US"/>
        </w:rPr>
        <w:t>modern</w:t>
      </w:r>
      <w:r w:rsidRPr="00B63E94">
        <w:rPr>
          <w:rFonts w:ascii="Times New Roman" w:eastAsia="Times New Roman" w:hAnsi="Times New Roman" w:cs="Times New Roman"/>
          <w:sz w:val="24"/>
          <w:szCs w:val="24"/>
          <w:lang w:val="en-US" w:eastAsia="en-US"/>
        </w:rPr>
        <w:t xml:space="preserve"> </w:t>
      </w:r>
      <w:r w:rsidR="00496641" w:rsidRPr="00B63E94">
        <w:rPr>
          <w:rFonts w:ascii="Times New Roman" w:eastAsia="Times New Roman" w:hAnsi="Times New Roman" w:cs="Times New Roman"/>
          <w:sz w:val="24"/>
          <w:szCs w:val="24"/>
          <w:lang w:val="en-US" w:eastAsia="en-US"/>
        </w:rPr>
        <w:t xml:space="preserve">constructions of adult citizenship. </w:t>
      </w:r>
      <w:r w:rsidR="00CF7E78" w:rsidRPr="00B63E94">
        <w:rPr>
          <w:rFonts w:ascii="Times New Roman" w:eastAsia="Times New Roman" w:hAnsi="Times New Roman" w:cs="Times New Roman"/>
          <w:sz w:val="24"/>
          <w:szCs w:val="24"/>
          <w:lang w:val="en-US" w:eastAsia="en-US"/>
        </w:rPr>
        <w:t>The opportunity for e</w:t>
      </w:r>
      <w:r w:rsidR="00781CBF" w:rsidRPr="00B63E94">
        <w:rPr>
          <w:rFonts w:ascii="Times New Roman" w:eastAsia="Times New Roman" w:hAnsi="Times New Roman" w:cs="Times New Roman"/>
          <w:sz w:val="24"/>
          <w:szCs w:val="24"/>
          <w:lang w:val="en-US" w:eastAsia="en-US"/>
        </w:rPr>
        <w:t xml:space="preserve">mployment </w:t>
      </w:r>
      <w:r w:rsidR="00CF7E78" w:rsidRPr="00B63E94">
        <w:rPr>
          <w:rFonts w:ascii="Times New Roman" w:eastAsia="Times New Roman" w:hAnsi="Times New Roman" w:cs="Times New Roman"/>
          <w:sz w:val="24"/>
          <w:szCs w:val="24"/>
          <w:lang w:val="en-US" w:eastAsia="en-US"/>
        </w:rPr>
        <w:t>i</w:t>
      </w:r>
      <w:r w:rsidR="00781CBF" w:rsidRPr="00B63E94">
        <w:rPr>
          <w:rFonts w:ascii="Times New Roman" w:eastAsia="Times New Roman" w:hAnsi="Times New Roman" w:cs="Times New Roman"/>
          <w:sz w:val="24"/>
          <w:szCs w:val="24"/>
          <w:lang w:val="en-US" w:eastAsia="en-US"/>
        </w:rPr>
        <w:t xml:space="preserve">s increasingly presented </w:t>
      </w:r>
      <w:r w:rsidR="00A2390C" w:rsidRPr="00B63E94">
        <w:rPr>
          <w:rFonts w:ascii="Times New Roman" w:eastAsia="Times New Roman" w:hAnsi="Times New Roman" w:cs="Times New Roman"/>
          <w:sz w:val="24"/>
          <w:szCs w:val="24"/>
          <w:lang w:val="en-US" w:eastAsia="en-US"/>
        </w:rPr>
        <w:t xml:space="preserve">as </w:t>
      </w:r>
      <w:r w:rsidR="00781CBF" w:rsidRPr="00B63E94">
        <w:rPr>
          <w:rFonts w:ascii="Times New Roman" w:eastAsia="Times New Roman" w:hAnsi="Times New Roman" w:cs="Times New Roman"/>
          <w:sz w:val="24"/>
          <w:szCs w:val="24"/>
          <w:lang w:val="en-US" w:eastAsia="en-US"/>
        </w:rPr>
        <w:t>a key social right, as a means to the reali</w:t>
      </w:r>
      <w:r w:rsidR="00A2390C" w:rsidRPr="00B63E94">
        <w:rPr>
          <w:rFonts w:ascii="Times New Roman" w:eastAsia="Times New Roman" w:hAnsi="Times New Roman" w:cs="Times New Roman"/>
          <w:sz w:val="24"/>
          <w:szCs w:val="24"/>
          <w:lang w:val="en-US" w:eastAsia="en-US"/>
        </w:rPr>
        <w:t>s</w:t>
      </w:r>
      <w:r w:rsidR="00781CBF" w:rsidRPr="00B63E94">
        <w:rPr>
          <w:rFonts w:ascii="Times New Roman" w:eastAsia="Times New Roman" w:hAnsi="Times New Roman" w:cs="Times New Roman"/>
          <w:sz w:val="24"/>
          <w:szCs w:val="24"/>
          <w:lang w:val="en-US" w:eastAsia="en-US"/>
        </w:rPr>
        <w:t xml:space="preserve">ation of </w:t>
      </w:r>
      <w:r w:rsidR="00CF7E78" w:rsidRPr="00B63E94">
        <w:rPr>
          <w:rFonts w:ascii="Times New Roman" w:eastAsia="Times New Roman" w:hAnsi="Times New Roman" w:cs="Times New Roman"/>
          <w:sz w:val="24"/>
          <w:szCs w:val="24"/>
          <w:lang w:val="en-US" w:eastAsia="en-US"/>
        </w:rPr>
        <w:lastRenderedPageBreak/>
        <w:t xml:space="preserve">other </w:t>
      </w:r>
      <w:r w:rsidR="00781CBF" w:rsidRPr="00B63E94">
        <w:rPr>
          <w:rFonts w:ascii="Times New Roman" w:eastAsia="Times New Roman" w:hAnsi="Times New Roman" w:cs="Times New Roman"/>
          <w:sz w:val="24"/>
          <w:szCs w:val="24"/>
          <w:lang w:val="en-US" w:eastAsia="en-US"/>
        </w:rPr>
        <w:t>economic rights</w:t>
      </w:r>
      <w:r w:rsidR="00A2390C" w:rsidRPr="00B63E94">
        <w:rPr>
          <w:rFonts w:ascii="Times New Roman" w:eastAsia="Times New Roman" w:hAnsi="Times New Roman" w:cs="Times New Roman"/>
          <w:sz w:val="24"/>
          <w:szCs w:val="24"/>
          <w:lang w:val="en-US" w:eastAsia="en-US"/>
        </w:rPr>
        <w:t>,</w:t>
      </w:r>
      <w:r w:rsidR="00781CBF" w:rsidRPr="00B63E94">
        <w:rPr>
          <w:rFonts w:ascii="Times New Roman" w:eastAsia="Times New Roman" w:hAnsi="Times New Roman" w:cs="Times New Roman"/>
          <w:sz w:val="24"/>
          <w:szCs w:val="24"/>
          <w:lang w:val="en-US" w:eastAsia="en-US"/>
        </w:rPr>
        <w:t xml:space="preserve"> and as a route to social inclusion more widely. </w:t>
      </w:r>
      <w:r w:rsidR="00496641" w:rsidRPr="00B63E94">
        <w:rPr>
          <w:rFonts w:ascii="Times New Roman" w:eastAsia="Times New Roman" w:hAnsi="Times New Roman" w:cs="Times New Roman"/>
          <w:sz w:val="24"/>
          <w:szCs w:val="24"/>
          <w:lang w:val="en-US" w:eastAsia="en-US"/>
        </w:rPr>
        <w:t xml:space="preserve">For </w:t>
      </w:r>
      <w:r w:rsidRPr="00B63E94">
        <w:rPr>
          <w:rFonts w:ascii="Times New Roman" w:eastAsia="Times New Roman" w:hAnsi="Times New Roman" w:cs="Times New Roman"/>
          <w:sz w:val="24"/>
          <w:szCs w:val="24"/>
          <w:lang w:val="en-US" w:eastAsia="en-US"/>
        </w:rPr>
        <w:t>governments</w:t>
      </w:r>
      <w:r w:rsidR="00496641" w:rsidRPr="00B63E94">
        <w:rPr>
          <w:rFonts w:ascii="Times New Roman" w:eastAsia="Times New Roman" w:hAnsi="Times New Roman" w:cs="Times New Roman"/>
          <w:sz w:val="24"/>
          <w:szCs w:val="24"/>
          <w:lang w:val="en-US" w:eastAsia="en-US"/>
        </w:rPr>
        <w:t xml:space="preserve"> there </w:t>
      </w:r>
      <w:r w:rsidRPr="00B63E94">
        <w:rPr>
          <w:rFonts w:ascii="Times New Roman" w:eastAsia="Times New Roman" w:hAnsi="Times New Roman" w:cs="Times New Roman"/>
          <w:sz w:val="24"/>
          <w:szCs w:val="24"/>
          <w:lang w:val="en-US" w:eastAsia="en-US"/>
        </w:rPr>
        <w:t>are</w:t>
      </w:r>
      <w:r w:rsidR="00496641" w:rsidRPr="00B63E94">
        <w:rPr>
          <w:rFonts w:ascii="Times New Roman" w:eastAsia="Times New Roman" w:hAnsi="Times New Roman" w:cs="Times New Roman"/>
          <w:sz w:val="24"/>
          <w:szCs w:val="24"/>
          <w:lang w:val="en-US" w:eastAsia="en-US"/>
        </w:rPr>
        <w:t xml:space="preserve"> </w:t>
      </w:r>
      <w:r w:rsidR="00781CBF" w:rsidRPr="00B63E94">
        <w:rPr>
          <w:rFonts w:ascii="Times New Roman" w:eastAsia="Times New Roman" w:hAnsi="Times New Roman" w:cs="Times New Roman"/>
          <w:sz w:val="24"/>
          <w:szCs w:val="24"/>
          <w:lang w:val="en-US" w:eastAsia="en-US"/>
        </w:rPr>
        <w:t xml:space="preserve">also </w:t>
      </w:r>
      <w:r w:rsidR="00496641" w:rsidRPr="00B63E94">
        <w:rPr>
          <w:rFonts w:ascii="Times New Roman" w:eastAsia="Times New Roman" w:hAnsi="Times New Roman" w:cs="Times New Roman"/>
          <w:sz w:val="24"/>
          <w:szCs w:val="24"/>
          <w:lang w:val="en-US" w:eastAsia="en-US"/>
        </w:rPr>
        <w:t xml:space="preserve">economic benefits in </w:t>
      </w:r>
      <w:r w:rsidRPr="00B63E94">
        <w:rPr>
          <w:rFonts w:ascii="Times New Roman" w:eastAsia="Times New Roman" w:hAnsi="Times New Roman" w:cs="Times New Roman"/>
          <w:sz w:val="24"/>
          <w:szCs w:val="24"/>
          <w:lang w:val="en-US" w:eastAsia="en-US"/>
        </w:rPr>
        <w:t>tapping</w:t>
      </w:r>
      <w:r w:rsidR="00496641" w:rsidRPr="00B63E94">
        <w:rPr>
          <w:rFonts w:ascii="Times New Roman" w:eastAsia="Times New Roman" w:hAnsi="Times New Roman" w:cs="Times New Roman"/>
          <w:sz w:val="24"/>
          <w:szCs w:val="24"/>
          <w:lang w:val="en-US" w:eastAsia="en-US"/>
        </w:rPr>
        <w:t xml:space="preserve"> the labour </w:t>
      </w:r>
      <w:r w:rsidRPr="00B63E94">
        <w:rPr>
          <w:rFonts w:ascii="Times New Roman" w:eastAsia="Times New Roman" w:hAnsi="Times New Roman" w:cs="Times New Roman"/>
          <w:sz w:val="24"/>
          <w:szCs w:val="24"/>
          <w:lang w:val="en-US" w:eastAsia="en-US"/>
        </w:rPr>
        <w:t>potential of historically excluded groups</w:t>
      </w:r>
      <w:r w:rsidR="00496641" w:rsidRPr="00B63E94">
        <w:rPr>
          <w:rFonts w:ascii="Times New Roman" w:eastAsia="Times New Roman" w:hAnsi="Times New Roman" w:cs="Times New Roman"/>
          <w:sz w:val="24"/>
          <w:szCs w:val="24"/>
          <w:lang w:val="en-US" w:eastAsia="en-US"/>
        </w:rPr>
        <w:t xml:space="preserve">, particularly in times of </w:t>
      </w:r>
      <w:r w:rsidRPr="00B63E94">
        <w:rPr>
          <w:rFonts w:ascii="Times New Roman" w:eastAsia="Times New Roman" w:hAnsi="Times New Roman" w:cs="Times New Roman"/>
          <w:sz w:val="24"/>
          <w:szCs w:val="24"/>
          <w:lang w:val="en-US" w:eastAsia="en-US"/>
        </w:rPr>
        <w:t>labour</w:t>
      </w:r>
      <w:r w:rsidR="00496641"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shortage or </w:t>
      </w:r>
      <w:r w:rsidR="00A2390C" w:rsidRPr="00B63E94">
        <w:rPr>
          <w:rFonts w:ascii="Times New Roman" w:eastAsia="Times New Roman" w:hAnsi="Times New Roman" w:cs="Times New Roman"/>
          <w:sz w:val="24"/>
          <w:szCs w:val="24"/>
          <w:lang w:val="en-US" w:eastAsia="en-US"/>
        </w:rPr>
        <w:t xml:space="preserve">when there are </w:t>
      </w:r>
      <w:r w:rsidRPr="00B63E94">
        <w:rPr>
          <w:rFonts w:ascii="Times New Roman" w:eastAsia="Times New Roman" w:hAnsi="Times New Roman" w:cs="Times New Roman"/>
          <w:sz w:val="24"/>
          <w:szCs w:val="24"/>
          <w:lang w:val="en-US" w:eastAsia="en-US"/>
        </w:rPr>
        <w:t>fiscal constraint</w:t>
      </w:r>
      <w:r w:rsidR="00A2390C" w:rsidRPr="00B63E94">
        <w:rPr>
          <w:rFonts w:ascii="Times New Roman" w:eastAsia="Times New Roman" w:hAnsi="Times New Roman" w:cs="Times New Roman"/>
          <w:sz w:val="24"/>
          <w:szCs w:val="24"/>
          <w:lang w:val="en-US" w:eastAsia="en-US"/>
        </w:rPr>
        <w:t>s</w:t>
      </w:r>
      <w:r w:rsidRPr="00B63E94">
        <w:rPr>
          <w:rFonts w:ascii="Times New Roman" w:eastAsia="Times New Roman" w:hAnsi="Times New Roman" w:cs="Times New Roman"/>
          <w:sz w:val="24"/>
          <w:szCs w:val="24"/>
          <w:lang w:val="en-US" w:eastAsia="en-US"/>
        </w:rPr>
        <w:t xml:space="preserve"> on </w:t>
      </w:r>
      <w:r w:rsidR="00496641" w:rsidRPr="00B63E94">
        <w:rPr>
          <w:rFonts w:ascii="Times New Roman" w:eastAsia="Times New Roman" w:hAnsi="Times New Roman" w:cs="Times New Roman"/>
          <w:sz w:val="24"/>
          <w:szCs w:val="24"/>
          <w:lang w:val="en-US" w:eastAsia="en-US"/>
        </w:rPr>
        <w:t xml:space="preserve">welfare </w:t>
      </w:r>
      <w:r w:rsidR="00781CBF" w:rsidRPr="00B63E94">
        <w:rPr>
          <w:rFonts w:ascii="Times New Roman" w:eastAsia="Times New Roman" w:hAnsi="Times New Roman" w:cs="Times New Roman"/>
          <w:sz w:val="24"/>
          <w:szCs w:val="24"/>
          <w:lang w:val="en-US" w:eastAsia="en-US"/>
        </w:rPr>
        <w:t>spending</w:t>
      </w:r>
      <w:r w:rsidR="00A2390C" w:rsidRPr="00B63E94">
        <w:rPr>
          <w:rFonts w:ascii="Times New Roman" w:eastAsia="Times New Roman" w:hAnsi="Times New Roman" w:cs="Times New Roman"/>
          <w:sz w:val="24"/>
          <w:szCs w:val="24"/>
          <w:lang w:val="en-US" w:eastAsia="en-US"/>
        </w:rPr>
        <w:t>, as in a period of austerity</w:t>
      </w:r>
      <w:r w:rsidR="00496641"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As a consequence</w:t>
      </w:r>
      <w:r w:rsidR="00781CBF" w:rsidRPr="00B63E94">
        <w:rPr>
          <w:rFonts w:ascii="Times New Roman" w:eastAsia="Times New Roman" w:hAnsi="Times New Roman" w:cs="Times New Roman"/>
          <w:sz w:val="24"/>
          <w:szCs w:val="24"/>
          <w:lang w:val="en-US" w:eastAsia="en-US"/>
        </w:rPr>
        <w:t xml:space="preserve"> both</w:t>
      </w:r>
      <w:r w:rsidR="00496641"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policy makers and disability activists have </w:t>
      </w:r>
      <w:r w:rsidR="00781CBF" w:rsidRPr="00B63E94">
        <w:rPr>
          <w:rFonts w:ascii="Times New Roman" w:eastAsia="Times New Roman" w:hAnsi="Times New Roman" w:cs="Times New Roman"/>
          <w:sz w:val="24"/>
          <w:szCs w:val="24"/>
          <w:lang w:val="en-US" w:eastAsia="en-US"/>
        </w:rPr>
        <w:t>made</w:t>
      </w:r>
      <w:r w:rsidRPr="00B63E94">
        <w:rPr>
          <w:rFonts w:ascii="Times New Roman" w:eastAsia="Times New Roman" w:hAnsi="Times New Roman" w:cs="Times New Roman"/>
          <w:sz w:val="24"/>
          <w:szCs w:val="24"/>
          <w:lang w:val="en-US" w:eastAsia="en-US"/>
        </w:rPr>
        <w:t xml:space="preserve"> economic, social and moral arguments for public policy reform</w:t>
      </w:r>
      <w:r w:rsidR="00496641" w:rsidRPr="00B63E94">
        <w:rPr>
          <w:rFonts w:ascii="Times New Roman" w:eastAsia="Times New Roman" w:hAnsi="Times New Roman" w:cs="Times New Roman"/>
          <w:sz w:val="24"/>
          <w:szCs w:val="24"/>
          <w:lang w:val="en-US" w:eastAsia="en-US"/>
        </w:rPr>
        <w:t xml:space="preserve"> to </w:t>
      </w:r>
      <w:r w:rsidRPr="00B63E94">
        <w:rPr>
          <w:rFonts w:ascii="Times New Roman" w:eastAsia="Times New Roman" w:hAnsi="Times New Roman" w:cs="Times New Roman"/>
          <w:sz w:val="24"/>
          <w:szCs w:val="24"/>
          <w:lang w:val="en-US" w:eastAsia="en-US"/>
        </w:rPr>
        <w:t>expand</w:t>
      </w:r>
      <w:r w:rsidR="00496641" w:rsidRPr="00B63E94">
        <w:rPr>
          <w:rFonts w:ascii="Times New Roman" w:eastAsia="Times New Roman" w:hAnsi="Times New Roman" w:cs="Times New Roman"/>
          <w:sz w:val="24"/>
          <w:szCs w:val="24"/>
          <w:lang w:val="en-US" w:eastAsia="en-US"/>
        </w:rPr>
        <w:t xml:space="preserve"> </w:t>
      </w:r>
      <w:r w:rsidR="0089011D" w:rsidRPr="00B63E94">
        <w:rPr>
          <w:rFonts w:ascii="Times New Roman" w:eastAsia="Times New Roman" w:hAnsi="Times New Roman" w:cs="Times New Roman"/>
          <w:sz w:val="24"/>
          <w:szCs w:val="24"/>
          <w:lang w:val="en-US" w:eastAsia="en-US"/>
        </w:rPr>
        <w:t>the</w:t>
      </w:r>
      <w:r w:rsidR="00496641" w:rsidRPr="00B63E94">
        <w:rPr>
          <w:rFonts w:ascii="Times New Roman" w:eastAsia="Times New Roman" w:hAnsi="Times New Roman" w:cs="Times New Roman"/>
          <w:sz w:val="24"/>
          <w:szCs w:val="24"/>
          <w:lang w:val="en-US" w:eastAsia="en-US"/>
        </w:rPr>
        <w:t xml:space="preserve"> op</w:t>
      </w:r>
      <w:r w:rsidRPr="00B63E94">
        <w:rPr>
          <w:rFonts w:ascii="Times New Roman" w:eastAsia="Times New Roman" w:hAnsi="Times New Roman" w:cs="Times New Roman"/>
          <w:sz w:val="24"/>
          <w:szCs w:val="24"/>
          <w:lang w:val="en-US" w:eastAsia="en-US"/>
        </w:rPr>
        <w:t>portunities</w:t>
      </w:r>
      <w:r w:rsidR="00781CBF" w:rsidRPr="00B63E94">
        <w:rPr>
          <w:rFonts w:ascii="Times New Roman" w:eastAsia="Times New Roman" w:hAnsi="Times New Roman" w:cs="Times New Roman"/>
          <w:sz w:val="24"/>
          <w:szCs w:val="24"/>
          <w:lang w:val="en-US" w:eastAsia="en-US"/>
        </w:rPr>
        <w:t>,</w:t>
      </w:r>
      <w:r w:rsidRPr="00B63E94">
        <w:rPr>
          <w:rFonts w:ascii="Times New Roman" w:eastAsia="Times New Roman" w:hAnsi="Times New Roman" w:cs="Times New Roman"/>
          <w:sz w:val="24"/>
          <w:szCs w:val="24"/>
          <w:lang w:val="en-US" w:eastAsia="en-US"/>
        </w:rPr>
        <w:t xml:space="preserve"> and </w:t>
      </w:r>
      <w:r w:rsidR="0089011D" w:rsidRPr="00B63E94">
        <w:rPr>
          <w:rFonts w:ascii="Times New Roman" w:eastAsia="Times New Roman" w:hAnsi="Times New Roman" w:cs="Times New Roman"/>
          <w:sz w:val="24"/>
          <w:szCs w:val="24"/>
          <w:lang w:val="en-US" w:eastAsia="en-US"/>
        </w:rPr>
        <w:t xml:space="preserve">the </w:t>
      </w:r>
      <w:r w:rsidRPr="00B63E94">
        <w:rPr>
          <w:rFonts w:ascii="Times New Roman" w:eastAsia="Times New Roman" w:hAnsi="Times New Roman" w:cs="Times New Roman"/>
          <w:sz w:val="24"/>
          <w:szCs w:val="24"/>
          <w:lang w:val="en-US" w:eastAsia="en-US"/>
        </w:rPr>
        <w:t>expectations</w:t>
      </w:r>
      <w:r w:rsidR="00781CBF" w:rsidRPr="00B63E94">
        <w:rPr>
          <w:rFonts w:ascii="Times New Roman" w:eastAsia="Times New Roman" w:hAnsi="Times New Roman" w:cs="Times New Roman"/>
          <w:sz w:val="24"/>
          <w:szCs w:val="24"/>
          <w:lang w:val="en-US" w:eastAsia="en-US"/>
        </w:rPr>
        <w:t>,</w:t>
      </w:r>
      <w:r w:rsidRPr="00B63E94">
        <w:rPr>
          <w:rFonts w:ascii="Times New Roman" w:eastAsia="Times New Roman" w:hAnsi="Times New Roman" w:cs="Times New Roman"/>
          <w:sz w:val="24"/>
          <w:szCs w:val="24"/>
          <w:lang w:val="en-US" w:eastAsia="en-US"/>
        </w:rPr>
        <w:t xml:space="preserve"> </w:t>
      </w:r>
      <w:r w:rsidR="0089011D" w:rsidRPr="00B63E94">
        <w:rPr>
          <w:rFonts w:ascii="Times New Roman" w:eastAsia="Times New Roman" w:hAnsi="Times New Roman" w:cs="Times New Roman"/>
          <w:sz w:val="24"/>
          <w:szCs w:val="24"/>
          <w:lang w:val="en-US" w:eastAsia="en-US"/>
        </w:rPr>
        <w:t xml:space="preserve">for </w:t>
      </w:r>
      <w:r w:rsidR="00781CBF" w:rsidRPr="00B63E94">
        <w:rPr>
          <w:rFonts w:ascii="Times New Roman" w:eastAsia="Times New Roman" w:hAnsi="Times New Roman" w:cs="Times New Roman"/>
          <w:sz w:val="24"/>
          <w:szCs w:val="24"/>
          <w:lang w:val="en-US" w:eastAsia="en-US"/>
        </w:rPr>
        <w:t>disabled adults to find employment</w:t>
      </w:r>
      <w:r w:rsidRPr="00B63E94">
        <w:rPr>
          <w:rFonts w:ascii="Times New Roman" w:eastAsia="Times New Roman" w:hAnsi="Times New Roman" w:cs="Times New Roman"/>
          <w:sz w:val="24"/>
          <w:szCs w:val="24"/>
          <w:lang w:val="en-US" w:eastAsia="en-US"/>
        </w:rPr>
        <w:t>.</w:t>
      </w:r>
      <w:r w:rsidR="00AD19DA" w:rsidRPr="00B63E94">
        <w:rPr>
          <w:rStyle w:val="FootnoteReference"/>
          <w:rFonts w:ascii="Times New Roman" w:eastAsia="Times New Roman" w:hAnsi="Times New Roman" w:cs="Times New Roman"/>
          <w:sz w:val="24"/>
          <w:szCs w:val="24"/>
          <w:lang w:val="en-US" w:eastAsia="en-US"/>
        </w:rPr>
        <w:footnoteReference w:id="11"/>
      </w:r>
    </w:p>
    <w:p w14:paraId="7E929E16" w14:textId="77777777" w:rsidR="000F6787" w:rsidRPr="00B63E94" w:rsidRDefault="000F6787" w:rsidP="00283D6C">
      <w:pPr>
        <w:pStyle w:val="Heading2"/>
      </w:pPr>
      <w:r w:rsidRPr="00B63E94">
        <w:t>Different policy approaches</w:t>
      </w:r>
    </w:p>
    <w:p w14:paraId="59C79E56" w14:textId="5F5974F8" w:rsidR="000F6787" w:rsidRPr="00B63E94" w:rsidRDefault="00F0692D" w:rsidP="00F22086">
      <w:pPr>
        <w:widowControl w:val="0"/>
        <w:autoSpaceDE w:val="0"/>
        <w:autoSpaceDN w:val="0"/>
        <w:adjustRightInd w:val="0"/>
        <w:spacing w:before="120" w:after="120" w:line="360" w:lineRule="auto"/>
        <w:jc w:val="both"/>
        <w:rPr>
          <w:rFonts w:ascii="Times New Roman" w:eastAsia="MS Mincho" w:hAnsi="Times New Roman" w:cs="Times New Roman"/>
          <w:sz w:val="24"/>
          <w:szCs w:val="24"/>
          <w:lang w:eastAsia="en-US"/>
        </w:rPr>
      </w:pPr>
      <w:r w:rsidRPr="00B63E94">
        <w:rPr>
          <w:rFonts w:ascii="Times New Roman" w:eastAsia="MS Mincho" w:hAnsi="Times New Roman" w:cs="Times New Roman"/>
          <w:sz w:val="24"/>
          <w:szCs w:val="24"/>
          <w:lang w:eastAsia="en-US"/>
        </w:rPr>
        <w:t>Broadly speaking, a</w:t>
      </w:r>
      <w:r w:rsidR="000F6787" w:rsidRPr="00B63E94">
        <w:rPr>
          <w:rFonts w:ascii="Times New Roman" w:eastAsia="MS Mincho" w:hAnsi="Times New Roman" w:cs="Times New Roman"/>
          <w:sz w:val="24"/>
          <w:szCs w:val="24"/>
          <w:lang w:eastAsia="en-US"/>
        </w:rPr>
        <w:t xml:space="preserve"> liberal </w:t>
      </w:r>
      <w:r w:rsidRPr="00B63E94">
        <w:rPr>
          <w:rFonts w:ascii="Times New Roman" w:eastAsia="MS Mincho" w:hAnsi="Times New Roman" w:cs="Times New Roman"/>
          <w:sz w:val="24"/>
          <w:szCs w:val="24"/>
          <w:lang w:eastAsia="en-US"/>
        </w:rPr>
        <w:t xml:space="preserve">approach to </w:t>
      </w:r>
      <w:r w:rsidR="000F6787" w:rsidRPr="00B63E94">
        <w:rPr>
          <w:rFonts w:ascii="Times New Roman" w:eastAsia="MS Mincho" w:hAnsi="Times New Roman" w:cs="Times New Roman"/>
          <w:sz w:val="24"/>
          <w:szCs w:val="24"/>
          <w:lang w:eastAsia="en-US"/>
        </w:rPr>
        <w:t xml:space="preserve">rights-based </w:t>
      </w:r>
      <w:r w:rsidR="00A2390C" w:rsidRPr="00B63E94">
        <w:rPr>
          <w:rFonts w:ascii="Times New Roman" w:eastAsia="MS Mincho" w:hAnsi="Times New Roman" w:cs="Times New Roman"/>
          <w:sz w:val="24"/>
          <w:szCs w:val="24"/>
          <w:lang w:eastAsia="en-US"/>
        </w:rPr>
        <w:t xml:space="preserve">labour law </w:t>
      </w:r>
      <w:r w:rsidR="000F6787" w:rsidRPr="00B63E94">
        <w:rPr>
          <w:rFonts w:ascii="Times New Roman" w:eastAsia="MS Mincho" w:hAnsi="Times New Roman" w:cs="Times New Roman"/>
          <w:sz w:val="24"/>
          <w:szCs w:val="24"/>
          <w:lang w:eastAsia="en-US"/>
        </w:rPr>
        <w:t xml:space="preserve">might </w:t>
      </w:r>
      <w:r w:rsidR="007A768D" w:rsidRPr="00B63E94">
        <w:rPr>
          <w:rFonts w:ascii="Times New Roman" w:eastAsia="MS Mincho" w:hAnsi="Times New Roman" w:cs="Times New Roman"/>
          <w:sz w:val="24"/>
          <w:szCs w:val="24"/>
          <w:lang w:eastAsia="en-US"/>
        </w:rPr>
        <w:t xml:space="preserve">suggest </w:t>
      </w:r>
      <w:r w:rsidR="000F6787" w:rsidRPr="00B63E94">
        <w:rPr>
          <w:rFonts w:ascii="Times New Roman" w:eastAsia="MS Mincho" w:hAnsi="Times New Roman" w:cs="Times New Roman"/>
          <w:sz w:val="24"/>
          <w:szCs w:val="24"/>
          <w:lang w:eastAsia="en-US"/>
        </w:rPr>
        <w:t xml:space="preserve">that enforcement of </w:t>
      </w:r>
      <w:r w:rsidRPr="00B63E94">
        <w:rPr>
          <w:rFonts w:ascii="Times New Roman" w:eastAsia="MS Mincho" w:hAnsi="Times New Roman" w:cs="Times New Roman"/>
          <w:sz w:val="24"/>
          <w:szCs w:val="24"/>
          <w:lang w:eastAsia="en-US"/>
        </w:rPr>
        <w:t xml:space="preserve">the </w:t>
      </w:r>
      <w:r w:rsidR="000F6787" w:rsidRPr="00B63E94">
        <w:rPr>
          <w:rFonts w:ascii="Times New Roman" w:eastAsia="MS Mincho" w:hAnsi="Times New Roman" w:cs="Times New Roman"/>
          <w:sz w:val="24"/>
          <w:szCs w:val="24"/>
          <w:lang w:eastAsia="en-US"/>
        </w:rPr>
        <w:t xml:space="preserve">negative right to non-discrimination in a free and open labour market would be sufficient to protect disabled people’s opportunity for employment ‘on an equal basis with others’. By contrast, an approach to </w:t>
      </w:r>
      <w:r w:rsidR="00A2390C" w:rsidRPr="00B63E94">
        <w:rPr>
          <w:rFonts w:ascii="Times New Roman" w:eastAsia="MS Mincho" w:hAnsi="Times New Roman" w:cs="Times New Roman"/>
          <w:sz w:val="24"/>
          <w:szCs w:val="24"/>
          <w:lang w:eastAsia="en-US"/>
        </w:rPr>
        <w:t xml:space="preserve">employment </w:t>
      </w:r>
      <w:r w:rsidR="000F6787" w:rsidRPr="00B63E94">
        <w:rPr>
          <w:rFonts w:ascii="Times New Roman" w:eastAsia="MS Mincho" w:hAnsi="Times New Roman" w:cs="Times New Roman"/>
          <w:sz w:val="24"/>
          <w:szCs w:val="24"/>
          <w:lang w:eastAsia="en-US"/>
        </w:rPr>
        <w:t>policy based on positive rights</w:t>
      </w:r>
      <w:r w:rsidR="00A2390C" w:rsidRPr="00B63E94">
        <w:rPr>
          <w:rFonts w:ascii="Times New Roman" w:eastAsia="MS Mincho" w:hAnsi="Times New Roman" w:cs="Times New Roman"/>
          <w:sz w:val="24"/>
          <w:szCs w:val="24"/>
          <w:lang w:eastAsia="en-US"/>
        </w:rPr>
        <w:t xml:space="preserve"> and</w:t>
      </w:r>
      <w:r w:rsidR="000F6787" w:rsidRPr="00B63E94">
        <w:rPr>
          <w:rFonts w:ascii="Times New Roman" w:eastAsia="MS Mincho" w:hAnsi="Times New Roman" w:cs="Times New Roman"/>
          <w:sz w:val="24"/>
          <w:szCs w:val="24"/>
          <w:lang w:eastAsia="en-US"/>
        </w:rPr>
        <w:t xml:space="preserve"> counter</w:t>
      </w:r>
      <w:r w:rsidR="00A2390C" w:rsidRPr="00B63E94">
        <w:rPr>
          <w:rFonts w:ascii="Times New Roman" w:eastAsia="MS Mincho" w:hAnsi="Times New Roman" w:cs="Times New Roman"/>
          <w:sz w:val="24"/>
          <w:szCs w:val="24"/>
          <w:lang w:eastAsia="en-US"/>
        </w:rPr>
        <w:t>ing</w:t>
      </w:r>
      <w:r w:rsidR="000F6787" w:rsidRPr="00B63E94">
        <w:rPr>
          <w:rFonts w:ascii="Times New Roman" w:eastAsia="MS Mincho" w:hAnsi="Times New Roman" w:cs="Times New Roman"/>
          <w:sz w:val="24"/>
          <w:szCs w:val="24"/>
          <w:lang w:eastAsia="en-US"/>
        </w:rPr>
        <w:t xml:space="preserve"> discrimination might suggest that acti</w:t>
      </w:r>
      <w:r w:rsidR="00A2390C" w:rsidRPr="00B63E94">
        <w:rPr>
          <w:rFonts w:ascii="Times New Roman" w:eastAsia="MS Mincho" w:hAnsi="Times New Roman" w:cs="Times New Roman"/>
          <w:sz w:val="24"/>
          <w:szCs w:val="24"/>
          <w:lang w:eastAsia="en-US"/>
        </w:rPr>
        <w:t xml:space="preserve">ve intervention </w:t>
      </w:r>
      <w:r w:rsidR="000F6787" w:rsidRPr="00B63E94">
        <w:rPr>
          <w:rFonts w:ascii="Times New Roman" w:eastAsia="MS Mincho" w:hAnsi="Times New Roman" w:cs="Times New Roman"/>
          <w:sz w:val="24"/>
          <w:szCs w:val="24"/>
          <w:lang w:eastAsia="en-US"/>
        </w:rPr>
        <w:t xml:space="preserve">in the labour market </w:t>
      </w:r>
      <w:r w:rsidR="00A2390C" w:rsidRPr="00B63E94">
        <w:rPr>
          <w:rFonts w:ascii="Times New Roman" w:eastAsia="MS Mincho" w:hAnsi="Times New Roman" w:cs="Times New Roman"/>
          <w:sz w:val="24"/>
          <w:szCs w:val="24"/>
          <w:lang w:eastAsia="en-US"/>
        </w:rPr>
        <w:t xml:space="preserve">is needed </w:t>
      </w:r>
      <w:r w:rsidR="000F6787" w:rsidRPr="00B63E94">
        <w:rPr>
          <w:rFonts w:ascii="Times New Roman" w:eastAsia="MS Mincho" w:hAnsi="Times New Roman" w:cs="Times New Roman"/>
          <w:sz w:val="24"/>
          <w:szCs w:val="24"/>
          <w:lang w:eastAsia="en-US"/>
        </w:rPr>
        <w:t xml:space="preserve">to reshape the opportunities </w:t>
      </w:r>
      <w:r w:rsidR="00A2390C" w:rsidRPr="00B63E94">
        <w:rPr>
          <w:rFonts w:ascii="Times New Roman" w:eastAsia="MS Mincho" w:hAnsi="Times New Roman" w:cs="Times New Roman"/>
          <w:sz w:val="24"/>
          <w:szCs w:val="24"/>
          <w:lang w:eastAsia="en-US"/>
        </w:rPr>
        <w:t>within that market</w:t>
      </w:r>
      <w:r w:rsidR="000F6787" w:rsidRPr="00B63E94">
        <w:rPr>
          <w:rFonts w:ascii="Times New Roman" w:eastAsia="MS Mincho" w:hAnsi="Times New Roman" w:cs="Times New Roman"/>
          <w:sz w:val="24"/>
          <w:szCs w:val="24"/>
          <w:lang w:eastAsia="en-US"/>
        </w:rPr>
        <w:t xml:space="preserve">. The evolution of public intervention to promote the employment of disabled people in contemporary welfare states is strongly associated with the emergence of ‘active labour market policies’ (ALMPs). The rationale for a more active intervention approach to employment policy assumes that market forces alone will not deliver </w:t>
      </w:r>
      <w:r w:rsidR="00CF7E78" w:rsidRPr="00B63E94">
        <w:rPr>
          <w:rFonts w:ascii="Times New Roman" w:eastAsia="MS Mincho" w:hAnsi="Times New Roman" w:cs="Times New Roman"/>
          <w:sz w:val="24"/>
          <w:szCs w:val="24"/>
          <w:lang w:eastAsia="en-US"/>
        </w:rPr>
        <w:t>optimum</w:t>
      </w:r>
      <w:r w:rsidR="000F6787" w:rsidRPr="00B63E94">
        <w:rPr>
          <w:rFonts w:ascii="Times New Roman" w:eastAsia="MS Mincho" w:hAnsi="Times New Roman" w:cs="Times New Roman"/>
          <w:sz w:val="24"/>
          <w:szCs w:val="24"/>
          <w:lang w:eastAsia="en-US"/>
        </w:rPr>
        <w:t xml:space="preserve"> employment or social outcomes, even with legislative protection for employment rights in place. The different emphases given to the role of the market and the state (and the family) in varying national welfare regimes </w:t>
      </w:r>
      <w:r w:rsidR="001B330F" w:rsidRPr="00B63E94">
        <w:rPr>
          <w:rFonts w:ascii="Times New Roman" w:eastAsia="MS Mincho" w:hAnsi="Times New Roman" w:cs="Times New Roman"/>
          <w:sz w:val="24"/>
          <w:szCs w:val="24"/>
          <w:lang w:eastAsia="en-US"/>
        </w:rPr>
        <w:t>was initially</w:t>
      </w:r>
      <w:r w:rsidR="000F6787" w:rsidRPr="00B63E94">
        <w:rPr>
          <w:rFonts w:ascii="Times New Roman" w:eastAsia="MS Mincho" w:hAnsi="Times New Roman" w:cs="Times New Roman"/>
          <w:sz w:val="24"/>
          <w:szCs w:val="24"/>
          <w:lang w:eastAsia="en-US"/>
        </w:rPr>
        <w:t xml:space="preserve"> characterised in the work of</w:t>
      </w:r>
      <w:r w:rsidR="00072AD7">
        <w:rPr>
          <w:rFonts w:ascii="Times New Roman" w:eastAsia="MS Mincho" w:hAnsi="Times New Roman" w:cs="Times New Roman"/>
          <w:sz w:val="24"/>
          <w:szCs w:val="24"/>
          <w:lang w:eastAsia="en-US"/>
        </w:rPr>
        <w:t xml:space="preserve"> </w:t>
      </w:r>
      <w:r w:rsidR="000F6787" w:rsidRPr="00B63E94">
        <w:rPr>
          <w:rFonts w:ascii="Times New Roman" w:eastAsia="MS Mincho" w:hAnsi="Times New Roman" w:cs="Times New Roman"/>
          <w:sz w:val="24"/>
          <w:szCs w:val="24"/>
          <w:lang w:eastAsia="en-US"/>
        </w:rPr>
        <w:t>Esping</w:t>
      </w:r>
      <w:r w:rsidR="00072AD7">
        <w:rPr>
          <w:rFonts w:ascii="Times New Roman" w:eastAsia="MS Mincho" w:hAnsi="Times New Roman" w:cs="Times New Roman"/>
          <w:sz w:val="24"/>
          <w:szCs w:val="24"/>
          <w:lang w:eastAsia="en-US"/>
        </w:rPr>
        <w:t>-</w:t>
      </w:r>
      <w:r w:rsidR="000F6787" w:rsidRPr="00B63E94">
        <w:rPr>
          <w:rFonts w:ascii="Times New Roman" w:eastAsia="MS Mincho" w:hAnsi="Times New Roman" w:cs="Times New Roman"/>
          <w:sz w:val="24"/>
          <w:szCs w:val="24"/>
          <w:lang w:eastAsia="en-US"/>
        </w:rPr>
        <w:t>Andersen.</w:t>
      </w:r>
      <w:r w:rsidR="000F6787" w:rsidRPr="00B63E94">
        <w:rPr>
          <w:rStyle w:val="FootnoteReference"/>
          <w:rFonts w:ascii="Times New Roman" w:eastAsia="MS Mincho" w:hAnsi="Times New Roman" w:cs="Times New Roman"/>
          <w:sz w:val="24"/>
          <w:szCs w:val="24"/>
          <w:lang w:eastAsia="en-US"/>
        </w:rPr>
        <w:footnoteReference w:id="12"/>
      </w:r>
      <w:r w:rsidR="000F6787" w:rsidRPr="00B63E94">
        <w:rPr>
          <w:rFonts w:ascii="Times New Roman" w:eastAsia="MS Mincho" w:hAnsi="Times New Roman" w:cs="Times New Roman"/>
          <w:sz w:val="24"/>
          <w:szCs w:val="24"/>
          <w:lang w:eastAsia="en-US"/>
        </w:rPr>
        <w:t xml:space="preserve"> </w:t>
      </w:r>
    </w:p>
    <w:p w14:paraId="5A123C41" w14:textId="774B277C" w:rsidR="000F6787" w:rsidRPr="00B63E94" w:rsidRDefault="000F6787" w:rsidP="00F22086">
      <w:pPr>
        <w:spacing w:line="360" w:lineRule="auto"/>
        <w:jc w:val="both"/>
        <w:rPr>
          <w:rFonts w:ascii="Times New Roman" w:eastAsia="MS Mincho" w:hAnsi="Times New Roman" w:cs="Times New Roman"/>
          <w:sz w:val="24"/>
          <w:szCs w:val="24"/>
          <w:lang w:eastAsia="en-US"/>
        </w:rPr>
      </w:pPr>
      <w:r w:rsidRPr="00B63E94">
        <w:rPr>
          <w:rFonts w:ascii="Times New Roman" w:eastAsia="MS Mincho" w:hAnsi="Times New Roman" w:cs="Times New Roman"/>
          <w:sz w:val="24"/>
          <w:szCs w:val="24"/>
          <w:lang w:eastAsia="en-US"/>
        </w:rPr>
        <w:t>Broadly speaking, ALMPs fall into three categories – the provision of public employment services that help people look for and find work</w:t>
      </w:r>
      <w:r w:rsidR="00B63E94" w:rsidRPr="00B63E94">
        <w:rPr>
          <w:rFonts w:ascii="Times New Roman" w:eastAsia="MS Mincho" w:hAnsi="Times New Roman" w:cs="Times New Roman"/>
          <w:sz w:val="24"/>
          <w:szCs w:val="24"/>
          <w:lang w:eastAsia="en-US"/>
        </w:rPr>
        <w:t>;</w:t>
      </w:r>
      <w:r w:rsidRPr="00B63E94">
        <w:rPr>
          <w:rFonts w:ascii="Times New Roman" w:eastAsia="MS Mincho" w:hAnsi="Times New Roman" w:cs="Times New Roman"/>
          <w:sz w:val="24"/>
          <w:szCs w:val="24"/>
          <w:lang w:eastAsia="en-US"/>
        </w:rPr>
        <w:t xml:space="preserve"> employment training that helps people to increase their employment skills; and, subsidies (either for the employer or the employee) to incentivise recruitment and work experience opportunities for people unable to find work easily in the open market.</w:t>
      </w:r>
      <w:r w:rsidR="008C2232" w:rsidRPr="00B63E94">
        <w:rPr>
          <w:rStyle w:val="FootnoteReference"/>
          <w:rFonts w:ascii="Times New Roman" w:eastAsia="MS Mincho" w:hAnsi="Times New Roman" w:cs="Times New Roman"/>
          <w:sz w:val="24"/>
          <w:szCs w:val="24"/>
          <w:lang w:eastAsia="en-US"/>
        </w:rPr>
        <w:footnoteReference w:id="13"/>
      </w:r>
      <w:r w:rsidRPr="00B63E94">
        <w:rPr>
          <w:rFonts w:ascii="Times New Roman" w:eastAsia="MS Mincho" w:hAnsi="Times New Roman" w:cs="Times New Roman"/>
          <w:sz w:val="24"/>
          <w:szCs w:val="24"/>
          <w:lang w:eastAsia="en-US"/>
        </w:rPr>
        <w:t xml:space="preserve"> ALMPs are by no means solely targeted towards disabled people</w:t>
      </w:r>
      <w:r w:rsidR="00A2390C" w:rsidRPr="00B63E94">
        <w:rPr>
          <w:rFonts w:ascii="Times New Roman" w:eastAsia="MS Mincho" w:hAnsi="Times New Roman" w:cs="Times New Roman"/>
          <w:sz w:val="24"/>
          <w:szCs w:val="24"/>
          <w:lang w:eastAsia="en-US"/>
        </w:rPr>
        <w:t>,</w:t>
      </w:r>
      <w:r w:rsidRPr="00B63E94">
        <w:rPr>
          <w:rFonts w:ascii="Times New Roman" w:eastAsia="MS Mincho" w:hAnsi="Times New Roman" w:cs="Times New Roman"/>
          <w:sz w:val="24"/>
          <w:szCs w:val="24"/>
          <w:lang w:eastAsia="en-US"/>
        </w:rPr>
        <w:t xml:space="preserve"> </w:t>
      </w:r>
      <w:r w:rsidR="00CF7E78" w:rsidRPr="00B63E94">
        <w:rPr>
          <w:rFonts w:ascii="Times New Roman" w:eastAsia="MS Mincho" w:hAnsi="Times New Roman" w:cs="Times New Roman"/>
          <w:sz w:val="24"/>
          <w:szCs w:val="24"/>
          <w:lang w:eastAsia="en-US"/>
        </w:rPr>
        <w:t>and</w:t>
      </w:r>
      <w:r w:rsidRPr="00B63E94">
        <w:rPr>
          <w:rFonts w:ascii="Times New Roman" w:eastAsia="MS Mincho" w:hAnsi="Times New Roman" w:cs="Times New Roman"/>
          <w:sz w:val="24"/>
          <w:szCs w:val="24"/>
          <w:lang w:eastAsia="en-US"/>
        </w:rPr>
        <w:t xml:space="preserve"> often </w:t>
      </w:r>
      <w:r w:rsidR="00A2390C" w:rsidRPr="00B63E94">
        <w:rPr>
          <w:rFonts w:ascii="Times New Roman" w:eastAsia="MS Mincho" w:hAnsi="Times New Roman" w:cs="Times New Roman"/>
          <w:sz w:val="24"/>
          <w:szCs w:val="24"/>
          <w:lang w:eastAsia="en-US"/>
        </w:rPr>
        <w:t>focus on</w:t>
      </w:r>
      <w:r w:rsidRPr="00B63E94">
        <w:rPr>
          <w:rFonts w:ascii="Times New Roman" w:eastAsia="MS Mincho" w:hAnsi="Times New Roman" w:cs="Times New Roman"/>
          <w:sz w:val="24"/>
          <w:szCs w:val="24"/>
          <w:lang w:eastAsia="en-US"/>
        </w:rPr>
        <w:t xml:space="preserve"> young people entering the labour market, older workers who have fallen out of the labour market, and other long-term unemployed people. Although interventionist in approach, the aim of ALMP programmes is very often stated as encouraging people </w:t>
      </w:r>
      <w:r w:rsidR="00A2390C" w:rsidRPr="00B63E94">
        <w:rPr>
          <w:rFonts w:ascii="Times New Roman" w:eastAsia="MS Mincho" w:hAnsi="Times New Roman" w:cs="Times New Roman"/>
          <w:sz w:val="24"/>
          <w:szCs w:val="24"/>
          <w:lang w:eastAsia="en-US"/>
        </w:rPr>
        <w:t xml:space="preserve">who are </w:t>
      </w:r>
      <w:r w:rsidRPr="00B63E94">
        <w:rPr>
          <w:rFonts w:ascii="Times New Roman" w:eastAsia="MS Mincho" w:hAnsi="Times New Roman" w:cs="Times New Roman"/>
          <w:sz w:val="24"/>
          <w:szCs w:val="24"/>
          <w:lang w:eastAsia="en-US"/>
        </w:rPr>
        <w:t xml:space="preserve">marginal to the labour market to assume greater independence and responsibility for </w:t>
      </w:r>
      <w:r w:rsidRPr="00B63E94">
        <w:rPr>
          <w:rFonts w:ascii="Times New Roman" w:eastAsia="MS Mincho" w:hAnsi="Times New Roman" w:cs="Times New Roman"/>
          <w:sz w:val="24"/>
          <w:szCs w:val="24"/>
          <w:lang w:eastAsia="en-US"/>
        </w:rPr>
        <w:lastRenderedPageBreak/>
        <w:t>themselves and their families through routes into paid employment.</w:t>
      </w:r>
      <w:r w:rsidR="008C2232" w:rsidRPr="00B63E94">
        <w:rPr>
          <w:rStyle w:val="FootnoteReference"/>
          <w:rFonts w:ascii="Times New Roman" w:eastAsia="MS Mincho" w:hAnsi="Times New Roman" w:cs="Times New Roman"/>
          <w:sz w:val="24"/>
          <w:szCs w:val="24"/>
          <w:lang w:eastAsia="en-US"/>
        </w:rPr>
        <w:footnoteReference w:id="14"/>
      </w:r>
      <w:r w:rsidRPr="00B63E94">
        <w:rPr>
          <w:rFonts w:ascii="Times New Roman" w:eastAsia="MS Mincho" w:hAnsi="Times New Roman" w:cs="Times New Roman"/>
          <w:sz w:val="24"/>
          <w:szCs w:val="24"/>
          <w:lang w:eastAsia="en-US"/>
        </w:rPr>
        <w:t xml:space="preserve"> Disabled people without work have been a key target group for such policies in re</w:t>
      </w:r>
      <w:r w:rsidR="00A2390C" w:rsidRPr="00B63E94">
        <w:rPr>
          <w:rFonts w:ascii="Times New Roman" w:eastAsia="MS Mincho" w:hAnsi="Times New Roman" w:cs="Times New Roman"/>
          <w:sz w:val="24"/>
          <w:szCs w:val="24"/>
          <w:lang w:eastAsia="en-US"/>
        </w:rPr>
        <w:t>cen</w:t>
      </w:r>
      <w:r w:rsidRPr="00B63E94">
        <w:rPr>
          <w:rFonts w:ascii="Times New Roman" w:eastAsia="MS Mincho" w:hAnsi="Times New Roman" w:cs="Times New Roman"/>
          <w:sz w:val="24"/>
          <w:szCs w:val="24"/>
          <w:lang w:eastAsia="en-US"/>
        </w:rPr>
        <w:t>t years.</w:t>
      </w:r>
      <w:r w:rsidR="0085554D" w:rsidRPr="00B63E94">
        <w:rPr>
          <w:rFonts w:ascii="Times New Roman" w:eastAsia="MS Mincho" w:hAnsi="Times New Roman" w:cs="Times New Roman"/>
          <w:sz w:val="24"/>
          <w:szCs w:val="24"/>
          <w:lang w:eastAsia="en-US"/>
        </w:rPr>
        <w:t xml:space="preserve"> </w:t>
      </w:r>
      <w:r w:rsidR="00A2390C" w:rsidRPr="00B63E94">
        <w:rPr>
          <w:rFonts w:ascii="Times New Roman" w:eastAsia="MS Mincho" w:hAnsi="Times New Roman" w:cs="Times New Roman"/>
          <w:sz w:val="24"/>
          <w:szCs w:val="24"/>
          <w:lang w:eastAsia="en-US"/>
        </w:rPr>
        <w:t>However</w:t>
      </w:r>
      <w:r w:rsidR="00E56A3C" w:rsidRPr="00B63E94">
        <w:rPr>
          <w:rFonts w:ascii="Times New Roman" w:eastAsia="MS Mincho" w:hAnsi="Times New Roman" w:cs="Times New Roman"/>
          <w:sz w:val="24"/>
          <w:szCs w:val="24"/>
          <w:lang w:eastAsia="en-US"/>
        </w:rPr>
        <w:t xml:space="preserve"> this</w:t>
      </w:r>
      <w:r w:rsidR="0085554D" w:rsidRPr="00B63E94">
        <w:rPr>
          <w:rFonts w:ascii="Times New Roman" w:eastAsia="MS Mincho" w:hAnsi="Times New Roman" w:cs="Times New Roman"/>
          <w:sz w:val="24"/>
          <w:szCs w:val="24"/>
          <w:lang w:eastAsia="en-US"/>
        </w:rPr>
        <w:t xml:space="preserve"> led some within the disability movement, like Abberley, to caution against the ‘over-enthusiastic espousal of work-based programmes of overcoming the exclusion of disabled people’.</w:t>
      </w:r>
      <w:r w:rsidR="00C715E9" w:rsidRPr="00B63E94">
        <w:rPr>
          <w:rStyle w:val="FootnoteReference"/>
          <w:rFonts w:ascii="Times New Roman" w:eastAsia="MS Mincho" w:hAnsi="Times New Roman" w:cs="Times New Roman"/>
          <w:sz w:val="24"/>
          <w:szCs w:val="24"/>
          <w:lang w:eastAsia="en-US"/>
        </w:rPr>
        <w:footnoteReference w:id="15"/>
      </w:r>
    </w:p>
    <w:p w14:paraId="089E82DA" w14:textId="0F14410D" w:rsidR="000F6787" w:rsidRPr="00B63E94" w:rsidRDefault="000F6787" w:rsidP="00F22086">
      <w:pPr>
        <w:widowControl w:val="0"/>
        <w:autoSpaceDE w:val="0"/>
        <w:autoSpaceDN w:val="0"/>
        <w:adjustRightInd w:val="0"/>
        <w:spacing w:before="120" w:after="120" w:line="360" w:lineRule="auto"/>
        <w:jc w:val="both"/>
        <w:rPr>
          <w:rFonts w:ascii="Times New Roman" w:eastAsia="MS Mincho" w:hAnsi="Times New Roman" w:cs="Times New Roman"/>
          <w:sz w:val="24"/>
          <w:szCs w:val="24"/>
          <w:lang w:eastAsia="en-US"/>
        </w:rPr>
      </w:pPr>
      <w:r w:rsidRPr="00B63E94">
        <w:rPr>
          <w:rFonts w:ascii="Times New Roman" w:eastAsia="MS Mincho" w:hAnsi="Times New Roman" w:cs="Times New Roman"/>
          <w:sz w:val="24"/>
          <w:szCs w:val="24"/>
          <w:lang w:eastAsia="en-US"/>
        </w:rPr>
        <w:t>ALMPs thus play an important role in defining the relationship between individuals and (welfare) states, and in structuring the relationship between the market and the state.</w:t>
      </w:r>
      <w:r w:rsidR="00C715E9" w:rsidRPr="00B63E94">
        <w:rPr>
          <w:rStyle w:val="FootnoteReference"/>
          <w:rFonts w:ascii="Times New Roman" w:eastAsia="MS Mincho" w:hAnsi="Times New Roman" w:cs="Times New Roman"/>
          <w:sz w:val="24"/>
          <w:szCs w:val="24"/>
          <w:lang w:eastAsia="en-US"/>
        </w:rPr>
        <w:footnoteReference w:id="16"/>
      </w:r>
      <w:r w:rsidR="00CE349A" w:rsidRPr="00B63E94">
        <w:rPr>
          <w:rFonts w:ascii="Times New Roman" w:eastAsia="MS Mincho" w:hAnsi="Times New Roman" w:cs="Times New Roman"/>
          <w:sz w:val="24"/>
          <w:szCs w:val="24"/>
          <w:lang w:eastAsia="en-US"/>
        </w:rPr>
        <w:t xml:space="preserve"> </w:t>
      </w:r>
      <w:r w:rsidRPr="00B63E94">
        <w:rPr>
          <w:rFonts w:ascii="Times New Roman" w:eastAsia="MS Mincho" w:hAnsi="Times New Roman" w:cs="Times New Roman"/>
          <w:sz w:val="24"/>
          <w:szCs w:val="24"/>
          <w:lang w:eastAsia="en-US"/>
        </w:rPr>
        <w:t>ALMPs may be defined as ‘measures taken in order to improve the functioning of the labour market that are directed towards the unemployed’.</w:t>
      </w:r>
      <w:r w:rsidR="00C715E9" w:rsidRPr="00B63E94">
        <w:rPr>
          <w:rStyle w:val="FootnoteReference"/>
          <w:rFonts w:ascii="Times New Roman" w:eastAsia="MS Mincho" w:hAnsi="Times New Roman" w:cs="Times New Roman"/>
          <w:sz w:val="24"/>
          <w:szCs w:val="24"/>
          <w:lang w:eastAsia="en-US"/>
        </w:rPr>
        <w:footnoteReference w:id="17"/>
      </w:r>
      <w:r w:rsidRPr="00B63E94">
        <w:rPr>
          <w:rFonts w:ascii="Times New Roman" w:eastAsia="MS Mincho" w:hAnsi="Times New Roman" w:cs="Times New Roman"/>
          <w:sz w:val="24"/>
          <w:szCs w:val="24"/>
          <w:lang w:eastAsia="en-US"/>
        </w:rPr>
        <w:t xml:space="preserve"> </w:t>
      </w:r>
      <w:proofErr w:type="gramStart"/>
      <w:r w:rsidRPr="00B63E94">
        <w:rPr>
          <w:rFonts w:ascii="Times New Roman" w:eastAsia="MS Mincho" w:hAnsi="Times New Roman" w:cs="Times New Roman"/>
          <w:sz w:val="24"/>
          <w:szCs w:val="24"/>
          <w:lang w:eastAsia="en-US"/>
        </w:rPr>
        <w:t>Calmfors</w:t>
      </w:r>
      <w:r w:rsidR="00CE349A" w:rsidRPr="00B63E94">
        <w:rPr>
          <w:rFonts w:ascii="Times New Roman" w:eastAsia="MS Mincho" w:hAnsi="Times New Roman" w:cs="Times New Roman"/>
          <w:sz w:val="24"/>
          <w:szCs w:val="24"/>
          <w:lang w:eastAsia="en-US"/>
        </w:rPr>
        <w:t>,</w:t>
      </w:r>
      <w:proofErr w:type="gramEnd"/>
      <w:r w:rsidR="00FF654C" w:rsidRPr="00B63E94">
        <w:rPr>
          <w:rFonts w:ascii="Times New Roman" w:eastAsia="MS Mincho" w:hAnsi="Times New Roman" w:cs="Times New Roman"/>
          <w:sz w:val="24"/>
          <w:szCs w:val="24"/>
          <w:lang w:eastAsia="en-US"/>
        </w:rPr>
        <w:t xml:space="preserve"> </w:t>
      </w:r>
      <w:r w:rsidRPr="00B63E94">
        <w:rPr>
          <w:rFonts w:ascii="Times New Roman" w:eastAsia="MS Mincho" w:hAnsi="Times New Roman" w:cs="Times New Roman"/>
          <w:sz w:val="24"/>
          <w:szCs w:val="24"/>
          <w:lang w:eastAsia="en-US"/>
        </w:rPr>
        <w:t xml:space="preserve">suggests that such improvements include the efficiency of matching job vacancies with job-seekers, upgrading and adapting the skills of job applicants, and job creation. Gilbert and Besharov </w:t>
      </w:r>
      <w:r w:rsidR="008F5667" w:rsidRPr="00B63E94">
        <w:rPr>
          <w:rFonts w:ascii="Times New Roman" w:eastAsia="MS Mincho" w:hAnsi="Times New Roman" w:cs="Times New Roman"/>
          <w:sz w:val="24"/>
          <w:szCs w:val="24"/>
          <w:lang w:eastAsia="en-US"/>
        </w:rPr>
        <w:t>identify</w:t>
      </w:r>
      <w:r w:rsidRPr="00B63E94">
        <w:rPr>
          <w:rFonts w:ascii="Times New Roman" w:eastAsia="MS Mincho" w:hAnsi="Times New Roman" w:cs="Times New Roman"/>
          <w:sz w:val="24"/>
          <w:szCs w:val="24"/>
          <w:lang w:eastAsia="en-US"/>
        </w:rPr>
        <w:t xml:space="preserve"> four categories of active labour market policies</w:t>
      </w:r>
      <w:r w:rsidR="00FF654C" w:rsidRPr="00B63E94">
        <w:rPr>
          <w:rFonts w:ascii="Times New Roman" w:eastAsia="MS Mincho" w:hAnsi="Times New Roman" w:cs="Times New Roman"/>
          <w:sz w:val="24"/>
          <w:szCs w:val="24"/>
          <w:lang w:eastAsia="en-US"/>
        </w:rPr>
        <w:t>:</w:t>
      </w:r>
      <w:r w:rsidRPr="00B63E94">
        <w:rPr>
          <w:rFonts w:ascii="Times New Roman" w:eastAsia="MS Mincho" w:hAnsi="Times New Roman" w:cs="Times New Roman"/>
          <w:sz w:val="24"/>
          <w:szCs w:val="24"/>
          <w:lang w:eastAsia="en-US"/>
        </w:rPr>
        <w:t xml:space="preserve"> (a) measures that raise the cost of non-work (such as sanctions and penalties for non-participation, job search program</w:t>
      </w:r>
      <w:r w:rsidR="008F5667" w:rsidRPr="00B63E94">
        <w:rPr>
          <w:rFonts w:ascii="Times New Roman" w:eastAsia="MS Mincho" w:hAnsi="Times New Roman" w:cs="Times New Roman"/>
          <w:sz w:val="24"/>
          <w:szCs w:val="24"/>
          <w:lang w:eastAsia="en-US"/>
        </w:rPr>
        <w:t>me</w:t>
      </w:r>
      <w:r w:rsidRPr="00B63E94">
        <w:rPr>
          <w:rFonts w:ascii="Times New Roman" w:eastAsia="MS Mincho" w:hAnsi="Times New Roman" w:cs="Times New Roman"/>
          <w:sz w:val="24"/>
          <w:szCs w:val="24"/>
          <w:lang w:eastAsia="en-US"/>
        </w:rPr>
        <w:t>s, lowering of replacement rate and duration of benefit, and narrowing the eligibility criteria or conditionality for benefits); (b) measures that increase the benefits of work (such as increasing work-pay t</w:t>
      </w:r>
      <w:r w:rsidR="008F5667" w:rsidRPr="00B63E94">
        <w:rPr>
          <w:rFonts w:ascii="Times New Roman" w:eastAsia="MS Mincho" w:hAnsi="Times New Roman" w:cs="Times New Roman"/>
          <w:sz w:val="24"/>
          <w:szCs w:val="24"/>
          <w:lang w:eastAsia="en-US"/>
        </w:rPr>
        <w:t>h</w:t>
      </w:r>
      <w:r w:rsidRPr="00B63E94">
        <w:rPr>
          <w:rFonts w:ascii="Times New Roman" w:eastAsia="MS Mincho" w:hAnsi="Times New Roman" w:cs="Times New Roman"/>
          <w:sz w:val="24"/>
          <w:szCs w:val="24"/>
          <w:lang w:eastAsia="en-US"/>
        </w:rPr>
        <w:t>rough tax credits and tax relief and restricting eligibility for benefits); (c) measures to increase the availability of work (such as creating jobs in the public sector, subsidi</w:t>
      </w:r>
      <w:r w:rsidR="008F5667" w:rsidRPr="00B63E94">
        <w:rPr>
          <w:rFonts w:ascii="Times New Roman" w:eastAsia="MS Mincho" w:hAnsi="Times New Roman" w:cs="Times New Roman"/>
          <w:sz w:val="24"/>
          <w:szCs w:val="24"/>
          <w:lang w:eastAsia="en-US"/>
        </w:rPr>
        <w:t>s</w:t>
      </w:r>
      <w:r w:rsidRPr="00B63E94">
        <w:rPr>
          <w:rFonts w:ascii="Times New Roman" w:eastAsia="MS Mincho" w:hAnsi="Times New Roman" w:cs="Times New Roman"/>
          <w:sz w:val="24"/>
          <w:szCs w:val="24"/>
          <w:lang w:eastAsia="en-US"/>
        </w:rPr>
        <w:t xml:space="preserve">ing employment costs to employers, providing flexible working conditions, sheltered employment or micro credits to start-up businesses); </w:t>
      </w:r>
      <w:r w:rsidR="00CF7E78" w:rsidRPr="00B63E94">
        <w:rPr>
          <w:rFonts w:ascii="Times New Roman" w:eastAsia="MS Mincho" w:hAnsi="Times New Roman" w:cs="Times New Roman"/>
          <w:sz w:val="24"/>
          <w:szCs w:val="24"/>
          <w:lang w:eastAsia="en-US"/>
        </w:rPr>
        <w:t xml:space="preserve">and </w:t>
      </w:r>
      <w:r w:rsidRPr="00B63E94">
        <w:rPr>
          <w:rFonts w:ascii="Times New Roman" w:eastAsia="MS Mincho" w:hAnsi="Times New Roman" w:cs="Times New Roman"/>
          <w:sz w:val="24"/>
          <w:szCs w:val="24"/>
          <w:lang w:eastAsia="en-US"/>
        </w:rPr>
        <w:t>(d) measures that increase readiness to work (such as providing education and training, opportunities to learn social and therapeutic skills for people with lower qualifications to increase their employability).</w:t>
      </w:r>
      <w:r w:rsidR="00C715E9" w:rsidRPr="00B63E94">
        <w:rPr>
          <w:rStyle w:val="FootnoteReference"/>
          <w:rFonts w:ascii="Times New Roman" w:eastAsia="MS Mincho" w:hAnsi="Times New Roman" w:cs="Times New Roman"/>
          <w:sz w:val="24"/>
          <w:szCs w:val="24"/>
          <w:lang w:eastAsia="en-US"/>
        </w:rPr>
        <w:footnoteReference w:id="18"/>
      </w:r>
      <w:r w:rsidRPr="00B63E94">
        <w:rPr>
          <w:rFonts w:ascii="Times New Roman" w:eastAsia="MS Mincho" w:hAnsi="Times New Roman" w:cs="Times New Roman"/>
          <w:sz w:val="24"/>
          <w:szCs w:val="24"/>
          <w:lang w:eastAsia="en-US"/>
        </w:rPr>
        <w:t xml:space="preserve"> </w:t>
      </w:r>
    </w:p>
    <w:p w14:paraId="440E94A0" w14:textId="77777777" w:rsidR="000F6787" w:rsidRPr="00B63E94" w:rsidRDefault="000F6787" w:rsidP="00F22086">
      <w:pPr>
        <w:spacing w:before="120" w:after="120" w:line="360" w:lineRule="auto"/>
        <w:jc w:val="both"/>
        <w:rPr>
          <w:rFonts w:ascii="Times New Roman" w:eastAsia="MS Mincho" w:hAnsi="Times New Roman" w:cs="Times New Roman"/>
          <w:sz w:val="24"/>
          <w:szCs w:val="24"/>
          <w:lang w:eastAsia="en-US"/>
        </w:rPr>
      </w:pPr>
      <w:r w:rsidRPr="00B63E94">
        <w:rPr>
          <w:rFonts w:ascii="Times New Roman" w:eastAsia="MS Mincho" w:hAnsi="Times New Roman" w:cs="Times New Roman"/>
          <w:sz w:val="24"/>
          <w:szCs w:val="24"/>
          <w:lang w:eastAsia="en-US"/>
        </w:rPr>
        <w:t xml:space="preserve">ALMPs have been widely targeted </w:t>
      </w:r>
      <w:r w:rsidR="00CF7E78" w:rsidRPr="00B63E94">
        <w:rPr>
          <w:rFonts w:ascii="Times New Roman" w:eastAsia="MS Mincho" w:hAnsi="Times New Roman" w:cs="Times New Roman"/>
          <w:sz w:val="24"/>
          <w:szCs w:val="24"/>
          <w:lang w:eastAsia="en-US"/>
        </w:rPr>
        <w:t>at</w:t>
      </w:r>
      <w:r w:rsidRPr="00B63E94">
        <w:rPr>
          <w:rFonts w:ascii="Times New Roman" w:eastAsia="MS Mincho" w:hAnsi="Times New Roman" w:cs="Times New Roman"/>
          <w:sz w:val="24"/>
          <w:szCs w:val="24"/>
          <w:lang w:eastAsia="en-US"/>
        </w:rPr>
        <w:t xml:space="preserve"> support</w:t>
      </w:r>
      <w:r w:rsidR="00CF7E78" w:rsidRPr="00B63E94">
        <w:rPr>
          <w:rFonts w:ascii="Times New Roman" w:eastAsia="MS Mincho" w:hAnsi="Times New Roman" w:cs="Times New Roman"/>
          <w:sz w:val="24"/>
          <w:szCs w:val="24"/>
          <w:lang w:eastAsia="en-US"/>
        </w:rPr>
        <w:t>ing</w:t>
      </w:r>
      <w:r w:rsidRPr="00B63E94">
        <w:rPr>
          <w:rFonts w:ascii="Times New Roman" w:eastAsia="MS Mincho" w:hAnsi="Times New Roman" w:cs="Times New Roman"/>
          <w:sz w:val="24"/>
          <w:szCs w:val="24"/>
          <w:lang w:eastAsia="en-US"/>
        </w:rPr>
        <w:t xml:space="preserve"> disabled people to enter and remain in employment</w:t>
      </w:r>
      <w:r w:rsidR="00C715E9" w:rsidRPr="00B63E94">
        <w:rPr>
          <w:rStyle w:val="FootnoteReference"/>
          <w:rFonts w:ascii="Times New Roman" w:eastAsia="MS Mincho" w:hAnsi="Times New Roman" w:cs="Times New Roman"/>
          <w:sz w:val="24"/>
          <w:szCs w:val="24"/>
          <w:lang w:eastAsia="en-US"/>
        </w:rPr>
        <w:footnoteReference w:id="19"/>
      </w:r>
      <w:r w:rsidRPr="00B63E94">
        <w:rPr>
          <w:rFonts w:ascii="Times New Roman" w:eastAsia="MS Mincho" w:hAnsi="Times New Roman" w:cs="Times New Roman"/>
          <w:sz w:val="24"/>
          <w:szCs w:val="24"/>
          <w:lang w:eastAsia="en-US"/>
        </w:rPr>
        <w:t xml:space="preserve"> and this </w:t>
      </w:r>
      <w:r w:rsidR="00CF7E78" w:rsidRPr="00B63E94">
        <w:rPr>
          <w:rFonts w:ascii="Times New Roman" w:eastAsia="MS Mincho" w:hAnsi="Times New Roman" w:cs="Times New Roman"/>
          <w:sz w:val="24"/>
          <w:szCs w:val="24"/>
          <w:lang w:eastAsia="en-US"/>
        </w:rPr>
        <w:t xml:space="preserve">trend </w:t>
      </w:r>
      <w:r w:rsidRPr="00B63E94">
        <w:rPr>
          <w:rFonts w:ascii="Times New Roman" w:eastAsia="MS Mincho" w:hAnsi="Times New Roman" w:cs="Times New Roman"/>
          <w:sz w:val="24"/>
          <w:szCs w:val="24"/>
          <w:lang w:eastAsia="en-US"/>
        </w:rPr>
        <w:t xml:space="preserve">has been accentuated by the increasing numbers of people claiming long-term out-of-work welfare benefits on grounds of disability and by the </w:t>
      </w:r>
      <w:r w:rsidRPr="00B63E94">
        <w:rPr>
          <w:rFonts w:ascii="Times New Roman" w:eastAsia="MS Mincho" w:hAnsi="Times New Roman" w:cs="Times New Roman"/>
          <w:sz w:val="24"/>
          <w:szCs w:val="24"/>
          <w:lang w:eastAsia="en-US"/>
        </w:rPr>
        <w:lastRenderedPageBreak/>
        <w:t xml:space="preserve">downturn in employment arising from the widespread economic recession after the financial crisis of 2008. At the launch of its 2010 </w:t>
      </w:r>
      <w:r w:rsidRPr="00B63E94">
        <w:rPr>
          <w:rFonts w:ascii="Times New Roman" w:eastAsia="MS Mincho" w:hAnsi="Times New Roman" w:cs="Times New Roman"/>
          <w:i/>
          <w:iCs/>
          <w:sz w:val="24"/>
          <w:szCs w:val="24"/>
          <w:lang w:eastAsia="en-US"/>
        </w:rPr>
        <w:t>Sickness, Disability and Work Report</w:t>
      </w:r>
      <w:r w:rsidRPr="00B63E94">
        <w:rPr>
          <w:rFonts w:ascii="Times New Roman" w:eastAsia="MS Mincho" w:hAnsi="Times New Roman" w:cs="Times New Roman"/>
          <w:sz w:val="24"/>
          <w:szCs w:val="24"/>
          <w:lang w:eastAsia="en-US"/>
        </w:rPr>
        <w:t>, the General Secretary of the Organization for Economic Cooperation and Development (OECD) stressed the importance of economic integration of disabled people, urging governments ‘to speed up their welfare reforms to help people with disabilities find a job’ and that ‘the mantra of making work pay must become central to all welfare schemes’.</w:t>
      </w:r>
      <w:r w:rsidR="00C715E9" w:rsidRPr="00B63E94">
        <w:rPr>
          <w:rStyle w:val="FootnoteReference"/>
          <w:rFonts w:ascii="Times New Roman" w:eastAsia="MS Mincho" w:hAnsi="Times New Roman" w:cs="Times New Roman"/>
          <w:sz w:val="24"/>
          <w:szCs w:val="24"/>
          <w:lang w:eastAsia="en-US"/>
        </w:rPr>
        <w:footnoteReference w:id="20"/>
      </w:r>
      <w:r w:rsidRPr="00B63E94">
        <w:rPr>
          <w:rFonts w:ascii="Times New Roman" w:eastAsia="MS Mincho" w:hAnsi="Times New Roman" w:cs="Times New Roman"/>
          <w:sz w:val="24"/>
          <w:szCs w:val="24"/>
          <w:lang w:eastAsia="en-US"/>
        </w:rPr>
        <w:t xml:space="preserve"> </w:t>
      </w:r>
    </w:p>
    <w:p w14:paraId="7E689723" w14:textId="77777777" w:rsidR="00BC781B" w:rsidRPr="00B63E94" w:rsidRDefault="000F6787" w:rsidP="00F22086">
      <w:pPr>
        <w:spacing w:before="120" w:after="120" w:line="360" w:lineRule="auto"/>
        <w:jc w:val="both"/>
        <w:rPr>
          <w:rFonts w:ascii="Times New Roman" w:eastAsia="MS Mincho" w:hAnsi="Times New Roman" w:cs="Times New Roman"/>
          <w:sz w:val="24"/>
          <w:szCs w:val="24"/>
          <w:lang w:eastAsia="en-US"/>
        </w:rPr>
      </w:pPr>
      <w:r w:rsidRPr="00B63E94">
        <w:rPr>
          <w:rFonts w:ascii="Times New Roman" w:eastAsia="MS Mincho" w:hAnsi="Times New Roman" w:cs="Times New Roman"/>
          <w:sz w:val="24"/>
          <w:szCs w:val="24"/>
          <w:lang w:eastAsia="en-US"/>
        </w:rPr>
        <w:t xml:space="preserve">As applied to disabled people, the most commonly targeted </w:t>
      </w:r>
      <w:r w:rsidR="00F0692D" w:rsidRPr="00B63E94">
        <w:rPr>
          <w:rFonts w:ascii="Times New Roman" w:eastAsia="MS Mincho" w:hAnsi="Times New Roman" w:cs="Times New Roman"/>
          <w:sz w:val="24"/>
          <w:szCs w:val="24"/>
          <w:lang w:eastAsia="en-US"/>
        </w:rPr>
        <w:t xml:space="preserve">intervention policies </w:t>
      </w:r>
      <w:r w:rsidRPr="00B63E94">
        <w:rPr>
          <w:rFonts w:ascii="Times New Roman" w:eastAsia="MS Mincho" w:hAnsi="Times New Roman" w:cs="Times New Roman"/>
          <w:sz w:val="24"/>
          <w:szCs w:val="24"/>
          <w:lang w:eastAsia="en-US"/>
        </w:rPr>
        <w:t>can be categorised as follows. ‘Sheltered employment’ involves the funding or operation of segregated workshops or work centres designated for the employment of disabled people, often at or below the minimum wage</w:t>
      </w:r>
      <w:r w:rsidR="008F5667" w:rsidRPr="00B63E94">
        <w:rPr>
          <w:rFonts w:ascii="Times New Roman" w:eastAsia="MS Mincho" w:hAnsi="Times New Roman" w:cs="Times New Roman"/>
          <w:sz w:val="24"/>
          <w:szCs w:val="24"/>
          <w:lang w:eastAsia="en-US"/>
        </w:rPr>
        <w:t>,</w:t>
      </w:r>
      <w:r w:rsidRPr="00B63E94">
        <w:rPr>
          <w:rFonts w:ascii="Times New Roman" w:eastAsia="MS Mincho" w:hAnsi="Times New Roman" w:cs="Times New Roman"/>
          <w:sz w:val="24"/>
          <w:szCs w:val="24"/>
          <w:lang w:eastAsia="en-US"/>
        </w:rPr>
        <w:t xml:space="preserve"> as form of training or therapeutic activity.</w:t>
      </w:r>
      <w:r w:rsidR="00F0692D" w:rsidRPr="00B63E94">
        <w:rPr>
          <w:rFonts w:ascii="Times New Roman" w:eastAsia="MS Mincho" w:hAnsi="Times New Roman" w:cs="Times New Roman"/>
          <w:sz w:val="24"/>
          <w:szCs w:val="24"/>
          <w:lang w:eastAsia="en-US"/>
        </w:rPr>
        <w:t xml:space="preserve"> </w:t>
      </w:r>
      <w:r w:rsidR="007C0CD1" w:rsidRPr="00B63E94">
        <w:rPr>
          <w:rFonts w:ascii="Times New Roman" w:eastAsia="MS Mincho" w:hAnsi="Times New Roman" w:cs="Times New Roman"/>
          <w:sz w:val="24"/>
          <w:szCs w:val="24"/>
          <w:lang w:eastAsia="en-US"/>
        </w:rPr>
        <w:t>While sheltered employment is typically included in policy typologies of labour activation t</w:t>
      </w:r>
      <w:r w:rsidR="00F0692D" w:rsidRPr="00B63E94">
        <w:rPr>
          <w:rFonts w:ascii="Times New Roman" w:eastAsia="MS Mincho" w:hAnsi="Times New Roman" w:cs="Times New Roman"/>
          <w:sz w:val="24"/>
          <w:szCs w:val="24"/>
          <w:lang w:eastAsia="en-US"/>
        </w:rPr>
        <w:t xml:space="preserve">he difficulty with this approach is that </w:t>
      </w:r>
      <w:r w:rsidR="007C0CD1" w:rsidRPr="00B63E94">
        <w:rPr>
          <w:rFonts w:ascii="Times New Roman" w:eastAsia="MS Mincho" w:hAnsi="Times New Roman" w:cs="Times New Roman"/>
          <w:sz w:val="24"/>
          <w:szCs w:val="24"/>
          <w:lang w:eastAsia="en-US"/>
        </w:rPr>
        <w:t>it</w:t>
      </w:r>
      <w:r w:rsidR="00F0692D" w:rsidRPr="00B63E94">
        <w:rPr>
          <w:rFonts w:ascii="Times New Roman" w:eastAsia="MS Mincho" w:hAnsi="Times New Roman" w:cs="Times New Roman"/>
          <w:sz w:val="24"/>
          <w:szCs w:val="24"/>
          <w:lang w:eastAsia="en-US"/>
        </w:rPr>
        <w:t xml:space="preserve"> </w:t>
      </w:r>
      <w:r w:rsidR="007C0CD1" w:rsidRPr="00B63E94">
        <w:rPr>
          <w:rFonts w:ascii="Times New Roman" w:eastAsia="MS Mincho" w:hAnsi="Times New Roman" w:cs="Times New Roman"/>
          <w:sz w:val="24"/>
          <w:szCs w:val="24"/>
          <w:lang w:eastAsia="en-US"/>
        </w:rPr>
        <w:t>depends</w:t>
      </w:r>
      <w:r w:rsidR="00F0692D" w:rsidRPr="00B63E94">
        <w:rPr>
          <w:rFonts w:ascii="Times New Roman" w:eastAsia="MS Mincho" w:hAnsi="Times New Roman" w:cs="Times New Roman"/>
          <w:sz w:val="24"/>
          <w:szCs w:val="24"/>
          <w:lang w:eastAsia="en-US"/>
        </w:rPr>
        <w:t xml:space="preserve">, by definition, </w:t>
      </w:r>
      <w:r w:rsidR="007C0CD1" w:rsidRPr="00B63E94">
        <w:rPr>
          <w:rFonts w:ascii="Times New Roman" w:eastAsia="MS Mincho" w:hAnsi="Times New Roman" w:cs="Times New Roman"/>
          <w:sz w:val="24"/>
          <w:szCs w:val="24"/>
          <w:lang w:eastAsia="en-US"/>
        </w:rPr>
        <w:t xml:space="preserve">on work </w:t>
      </w:r>
      <w:r w:rsidR="00F0692D" w:rsidRPr="00B63E94">
        <w:rPr>
          <w:rFonts w:ascii="Times New Roman" w:eastAsia="MS Mincho" w:hAnsi="Times New Roman" w:cs="Times New Roman"/>
          <w:sz w:val="24"/>
          <w:szCs w:val="24"/>
          <w:lang w:eastAsia="en-US"/>
        </w:rPr>
        <w:t>outside the mainstream labour market</w:t>
      </w:r>
      <w:r w:rsidR="007C0CD1" w:rsidRPr="00B63E94">
        <w:rPr>
          <w:rFonts w:ascii="Times New Roman" w:eastAsia="MS Mincho" w:hAnsi="Times New Roman" w:cs="Times New Roman"/>
          <w:sz w:val="24"/>
          <w:szCs w:val="24"/>
          <w:lang w:eastAsia="en-US"/>
        </w:rPr>
        <w:t xml:space="preserve"> </w:t>
      </w:r>
      <w:r w:rsidR="00F0692D" w:rsidRPr="00B63E94">
        <w:rPr>
          <w:rFonts w:ascii="Times New Roman" w:eastAsia="MS Mincho" w:hAnsi="Times New Roman" w:cs="Times New Roman"/>
          <w:sz w:val="24"/>
          <w:szCs w:val="24"/>
          <w:lang w:eastAsia="en-US"/>
        </w:rPr>
        <w:t>and is thus at odds with an equality and non-discrimination approach.</w:t>
      </w:r>
      <w:r w:rsidR="00F0692D" w:rsidRPr="00B63E94">
        <w:rPr>
          <w:rStyle w:val="FootnoteReference"/>
          <w:rFonts w:ascii="Times New Roman" w:eastAsia="MS Mincho" w:hAnsi="Times New Roman" w:cs="Times New Roman"/>
          <w:sz w:val="24"/>
          <w:szCs w:val="24"/>
          <w:lang w:eastAsia="en-US"/>
        </w:rPr>
        <w:footnoteReference w:id="21"/>
      </w:r>
      <w:r w:rsidR="007C0CD1" w:rsidRPr="00B63E94">
        <w:rPr>
          <w:rFonts w:ascii="Times New Roman" w:eastAsia="MS Mincho" w:hAnsi="Times New Roman" w:cs="Times New Roman"/>
          <w:sz w:val="24"/>
          <w:szCs w:val="24"/>
          <w:lang w:eastAsia="en-US"/>
        </w:rPr>
        <w:t xml:space="preserve"> </w:t>
      </w:r>
      <w:r w:rsidRPr="00B63E94">
        <w:rPr>
          <w:rFonts w:ascii="Times New Roman" w:eastAsia="MS Mincho" w:hAnsi="Times New Roman" w:cs="Times New Roman"/>
          <w:sz w:val="24"/>
          <w:szCs w:val="24"/>
          <w:lang w:eastAsia="en-US"/>
        </w:rPr>
        <w:t xml:space="preserve">‘Supported employment’ by contrast involves the provision of support on-the-job in the open labour market. ‘Subsidised employment’ refers to investments and incentives that reduce the cost of employing disabled people, for example through wage subsidies or tax subsidies for the employer. ‘Vocational rehabilitation and training’ aims to increase the job skills and productivity levels of disabled people and may also feature in either sheltered or supported employment schemes. ‘Quota schemes’ place obligations or expectations on employers to employ a specified minimum proportion of disabled people in their workforce, often accompanied by a tax penalty or levy for failing to meet the target. </w:t>
      </w:r>
      <w:r w:rsidR="007C0CD1" w:rsidRPr="00B63E94">
        <w:rPr>
          <w:rFonts w:ascii="Times New Roman" w:eastAsia="MS Mincho" w:hAnsi="Times New Roman" w:cs="Times New Roman"/>
          <w:sz w:val="24"/>
          <w:szCs w:val="24"/>
          <w:lang w:eastAsia="en-US"/>
        </w:rPr>
        <w:t xml:space="preserve">These approaches are all common within the active labour market policy approach. </w:t>
      </w:r>
      <w:r w:rsidR="00BC781B" w:rsidRPr="00B63E94">
        <w:rPr>
          <w:rFonts w:ascii="Times New Roman" w:eastAsia="MS Mincho" w:hAnsi="Times New Roman" w:cs="Times New Roman"/>
          <w:sz w:val="24"/>
          <w:szCs w:val="24"/>
          <w:lang w:eastAsia="en-US"/>
        </w:rPr>
        <w:t xml:space="preserve">The most prominent types of ALMP are supported employment, vocational rehabilitation, work placement, employment quotas and incentives. </w:t>
      </w:r>
    </w:p>
    <w:p w14:paraId="0D7B11D4" w14:textId="77777777" w:rsidR="00915A8F" w:rsidRPr="00B63E94" w:rsidRDefault="000F6787" w:rsidP="00F22086">
      <w:pPr>
        <w:spacing w:before="120" w:after="120" w:line="360" w:lineRule="auto"/>
        <w:jc w:val="both"/>
        <w:rPr>
          <w:rFonts w:ascii="Times New Roman" w:eastAsia="MS Mincho" w:hAnsi="Times New Roman" w:cs="Times New Roman"/>
          <w:sz w:val="24"/>
          <w:szCs w:val="24"/>
          <w:lang w:eastAsia="en-US"/>
        </w:rPr>
      </w:pPr>
      <w:r w:rsidRPr="00B63E94">
        <w:rPr>
          <w:rFonts w:ascii="Times New Roman" w:eastAsia="MS Mincho" w:hAnsi="Times New Roman" w:cs="Times New Roman"/>
          <w:sz w:val="24"/>
          <w:szCs w:val="24"/>
          <w:lang w:eastAsia="en-US"/>
        </w:rPr>
        <w:t>‘</w:t>
      </w:r>
      <w:r w:rsidR="007C0CD1" w:rsidRPr="00B63E94">
        <w:rPr>
          <w:rFonts w:ascii="Times New Roman" w:eastAsia="MS Mincho" w:hAnsi="Times New Roman" w:cs="Times New Roman"/>
          <w:sz w:val="24"/>
          <w:szCs w:val="24"/>
          <w:lang w:eastAsia="en-US"/>
        </w:rPr>
        <w:t>Non</w:t>
      </w:r>
      <w:r w:rsidRPr="00B63E94">
        <w:rPr>
          <w:rFonts w:ascii="Times New Roman" w:eastAsia="MS Mincho" w:hAnsi="Times New Roman" w:cs="Times New Roman"/>
          <w:sz w:val="24"/>
          <w:szCs w:val="24"/>
          <w:lang w:eastAsia="en-US"/>
        </w:rPr>
        <w:t xml:space="preserve">-discrimination’ </w:t>
      </w:r>
      <w:r w:rsidR="007C0CD1" w:rsidRPr="00B63E94">
        <w:rPr>
          <w:rFonts w:ascii="Times New Roman" w:eastAsia="MS Mincho" w:hAnsi="Times New Roman" w:cs="Times New Roman"/>
          <w:sz w:val="24"/>
          <w:szCs w:val="24"/>
          <w:lang w:eastAsia="en-US"/>
        </w:rPr>
        <w:t>policies</w:t>
      </w:r>
      <w:r w:rsidRPr="00B63E94">
        <w:rPr>
          <w:rFonts w:ascii="Times New Roman" w:eastAsia="MS Mincho" w:hAnsi="Times New Roman" w:cs="Times New Roman"/>
          <w:sz w:val="24"/>
          <w:szCs w:val="24"/>
          <w:lang w:eastAsia="en-US"/>
        </w:rPr>
        <w:t xml:space="preserve">, as discussed, involve stipulating and enforcing rights to equal opportunities in </w:t>
      </w:r>
      <w:r w:rsidR="00BC781B" w:rsidRPr="00B63E94">
        <w:rPr>
          <w:rFonts w:ascii="Times New Roman" w:eastAsia="MS Mincho" w:hAnsi="Times New Roman" w:cs="Times New Roman"/>
          <w:sz w:val="24"/>
          <w:szCs w:val="24"/>
          <w:lang w:eastAsia="en-US"/>
        </w:rPr>
        <w:t xml:space="preserve">any </w:t>
      </w:r>
      <w:r w:rsidRPr="00B63E94">
        <w:rPr>
          <w:rFonts w:ascii="Times New Roman" w:eastAsia="MS Mincho" w:hAnsi="Times New Roman" w:cs="Times New Roman"/>
          <w:sz w:val="24"/>
          <w:szCs w:val="24"/>
          <w:lang w:eastAsia="en-US"/>
        </w:rPr>
        <w:t>aspect of job seeking and employment</w:t>
      </w:r>
      <w:r w:rsidR="007C0CD1" w:rsidRPr="00B63E94">
        <w:rPr>
          <w:rFonts w:ascii="Times New Roman" w:eastAsia="MS Mincho" w:hAnsi="Times New Roman" w:cs="Times New Roman"/>
          <w:sz w:val="24"/>
          <w:szCs w:val="24"/>
          <w:lang w:eastAsia="en-US"/>
        </w:rPr>
        <w:t xml:space="preserve"> but may exist </w:t>
      </w:r>
      <w:r w:rsidR="00BC781B" w:rsidRPr="00B63E94">
        <w:rPr>
          <w:rFonts w:ascii="Times New Roman" w:eastAsia="MS Mincho" w:hAnsi="Times New Roman" w:cs="Times New Roman"/>
          <w:sz w:val="24"/>
          <w:szCs w:val="24"/>
          <w:lang w:eastAsia="en-US"/>
        </w:rPr>
        <w:t>independently</w:t>
      </w:r>
      <w:r w:rsidR="007C0CD1" w:rsidRPr="00B63E94">
        <w:rPr>
          <w:rFonts w:ascii="Times New Roman" w:eastAsia="MS Mincho" w:hAnsi="Times New Roman" w:cs="Times New Roman"/>
          <w:sz w:val="24"/>
          <w:szCs w:val="24"/>
          <w:lang w:eastAsia="en-US"/>
        </w:rPr>
        <w:t xml:space="preserve"> from, or do not necessarily rely upon, active </w:t>
      </w:r>
      <w:r w:rsidR="00D712D7" w:rsidRPr="00B63E94">
        <w:rPr>
          <w:rFonts w:ascii="Times New Roman" w:eastAsia="MS Mincho" w:hAnsi="Times New Roman" w:cs="Times New Roman"/>
          <w:sz w:val="24"/>
          <w:szCs w:val="24"/>
          <w:lang w:eastAsia="en-US"/>
        </w:rPr>
        <w:t xml:space="preserve">policy </w:t>
      </w:r>
      <w:r w:rsidR="007C0CD1" w:rsidRPr="00B63E94">
        <w:rPr>
          <w:rFonts w:ascii="Times New Roman" w:eastAsia="MS Mincho" w:hAnsi="Times New Roman" w:cs="Times New Roman"/>
          <w:sz w:val="24"/>
          <w:szCs w:val="24"/>
          <w:lang w:eastAsia="en-US"/>
        </w:rPr>
        <w:t>measures to promote or create employment</w:t>
      </w:r>
      <w:r w:rsidRPr="00B63E94">
        <w:rPr>
          <w:rFonts w:ascii="Times New Roman" w:eastAsia="MS Mincho" w:hAnsi="Times New Roman" w:cs="Times New Roman"/>
          <w:sz w:val="24"/>
          <w:szCs w:val="24"/>
          <w:lang w:eastAsia="en-US"/>
        </w:rPr>
        <w:t>.</w:t>
      </w:r>
      <w:r w:rsidR="00C715E9" w:rsidRPr="00B63E94">
        <w:rPr>
          <w:rStyle w:val="FootnoteReference"/>
          <w:rFonts w:ascii="Times New Roman" w:eastAsia="MS Mincho" w:hAnsi="Times New Roman" w:cs="Times New Roman"/>
          <w:sz w:val="24"/>
          <w:szCs w:val="24"/>
          <w:lang w:eastAsia="en-US"/>
        </w:rPr>
        <w:footnoteReference w:id="22"/>
      </w:r>
      <w:r w:rsidRPr="00B63E94">
        <w:rPr>
          <w:rFonts w:ascii="Times New Roman" w:eastAsia="MS Mincho" w:hAnsi="Times New Roman" w:cs="Times New Roman"/>
          <w:sz w:val="24"/>
          <w:szCs w:val="24"/>
          <w:lang w:eastAsia="en-US"/>
        </w:rPr>
        <w:t xml:space="preserve"> </w:t>
      </w:r>
      <w:r w:rsidR="00BC781B" w:rsidRPr="00B63E94">
        <w:rPr>
          <w:rFonts w:ascii="Times New Roman" w:eastAsia="MS Mincho" w:hAnsi="Times New Roman" w:cs="Times New Roman"/>
          <w:sz w:val="24"/>
          <w:szCs w:val="24"/>
          <w:lang w:eastAsia="en-US"/>
        </w:rPr>
        <w:t xml:space="preserve">It </w:t>
      </w:r>
      <w:r w:rsidR="00BC781B" w:rsidRPr="00B63E94">
        <w:rPr>
          <w:rFonts w:ascii="Times New Roman" w:eastAsia="MS Mincho" w:hAnsi="Times New Roman" w:cs="Times New Roman"/>
          <w:sz w:val="24"/>
          <w:szCs w:val="24"/>
          <w:lang w:eastAsia="en-US"/>
        </w:rPr>
        <w:lastRenderedPageBreak/>
        <w:t xml:space="preserve">is </w:t>
      </w:r>
      <w:r w:rsidR="00D712D7" w:rsidRPr="00B63E94">
        <w:rPr>
          <w:rFonts w:ascii="Times New Roman" w:eastAsia="MS Mincho" w:hAnsi="Times New Roman" w:cs="Times New Roman"/>
          <w:sz w:val="24"/>
          <w:szCs w:val="24"/>
          <w:lang w:eastAsia="en-US"/>
        </w:rPr>
        <w:t xml:space="preserve">in this area </w:t>
      </w:r>
      <w:r w:rsidR="00BC781B" w:rsidRPr="00B63E94">
        <w:rPr>
          <w:rFonts w:ascii="Times New Roman" w:eastAsia="MS Mincho" w:hAnsi="Times New Roman" w:cs="Times New Roman"/>
          <w:sz w:val="24"/>
          <w:szCs w:val="24"/>
          <w:lang w:eastAsia="en-US"/>
        </w:rPr>
        <w:t xml:space="preserve">that </w:t>
      </w:r>
      <w:r w:rsidR="00D712D7" w:rsidRPr="00B63E94">
        <w:rPr>
          <w:rFonts w:ascii="Times New Roman" w:eastAsia="MS Mincho" w:hAnsi="Times New Roman" w:cs="Times New Roman"/>
          <w:sz w:val="24"/>
          <w:szCs w:val="24"/>
          <w:lang w:eastAsia="en-US"/>
        </w:rPr>
        <w:t>there have been</w:t>
      </w:r>
      <w:r w:rsidR="00BC781B" w:rsidRPr="00B63E94">
        <w:rPr>
          <w:rFonts w:ascii="Times New Roman" w:eastAsia="MS Mincho" w:hAnsi="Times New Roman" w:cs="Times New Roman"/>
          <w:sz w:val="24"/>
          <w:szCs w:val="24"/>
          <w:lang w:eastAsia="en-US"/>
        </w:rPr>
        <w:t xml:space="preserve"> </w:t>
      </w:r>
      <w:r w:rsidRPr="00B63E94">
        <w:rPr>
          <w:rFonts w:ascii="Times New Roman" w:eastAsia="MS Mincho" w:hAnsi="Times New Roman" w:cs="Times New Roman"/>
          <w:sz w:val="24"/>
          <w:szCs w:val="24"/>
          <w:lang w:eastAsia="en-US"/>
        </w:rPr>
        <w:t xml:space="preserve">the </w:t>
      </w:r>
      <w:r w:rsidR="00D712D7" w:rsidRPr="00B63E94">
        <w:rPr>
          <w:rFonts w:ascii="Times New Roman" w:eastAsia="MS Mincho" w:hAnsi="Times New Roman" w:cs="Times New Roman"/>
          <w:sz w:val="24"/>
          <w:szCs w:val="24"/>
          <w:lang w:eastAsia="en-US"/>
        </w:rPr>
        <w:t>rapid and positive advances in law and policy development in recent years</w:t>
      </w:r>
      <w:r w:rsidRPr="00B63E94">
        <w:rPr>
          <w:rFonts w:ascii="Times New Roman" w:eastAsia="MS Mincho" w:hAnsi="Times New Roman" w:cs="Times New Roman"/>
          <w:sz w:val="24"/>
          <w:szCs w:val="24"/>
          <w:lang w:eastAsia="en-US"/>
        </w:rPr>
        <w:t>.</w:t>
      </w:r>
      <w:r w:rsidR="00D712D7" w:rsidRPr="00B63E94">
        <w:rPr>
          <w:rStyle w:val="FootnoteReference"/>
          <w:rFonts w:ascii="Times New Roman" w:eastAsia="MS Mincho" w:hAnsi="Times New Roman" w:cs="Times New Roman"/>
          <w:sz w:val="24"/>
          <w:szCs w:val="24"/>
          <w:lang w:eastAsia="en-US"/>
        </w:rPr>
        <w:footnoteReference w:id="23"/>
      </w:r>
      <w:r w:rsidRPr="00B63E94">
        <w:rPr>
          <w:rFonts w:ascii="Times New Roman" w:eastAsia="MS Mincho" w:hAnsi="Times New Roman" w:cs="Times New Roman"/>
          <w:sz w:val="24"/>
          <w:szCs w:val="24"/>
          <w:lang w:eastAsia="en-US"/>
        </w:rPr>
        <w:t xml:space="preserve"> At the same time, however, there has been </w:t>
      </w:r>
      <w:r w:rsidR="00D712D7" w:rsidRPr="00B63E94">
        <w:rPr>
          <w:rFonts w:ascii="Times New Roman" w:eastAsia="MS Mincho" w:hAnsi="Times New Roman" w:cs="Times New Roman"/>
          <w:sz w:val="24"/>
          <w:szCs w:val="24"/>
          <w:lang w:eastAsia="en-US"/>
        </w:rPr>
        <w:t xml:space="preserve">increasing </w:t>
      </w:r>
      <w:r w:rsidRPr="00B63E94">
        <w:rPr>
          <w:rFonts w:ascii="Times New Roman" w:eastAsia="MS Mincho" w:hAnsi="Times New Roman" w:cs="Times New Roman"/>
          <w:sz w:val="24"/>
          <w:szCs w:val="24"/>
          <w:lang w:eastAsia="en-US"/>
        </w:rPr>
        <w:t xml:space="preserve">attention to </w:t>
      </w:r>
      <w:r w:rsidR="00D712D7" w:rsidRPr="00B63E94">
        <w:rPr>
          <w:rFonts w:ascii="Times New Roman" w:eastAsia="MS Mincho" w:hAnsi="Times New Roman" w:cs="Times New Roman"/>
          <w:sz w:val="24"/>
          <w:szCs w:val="24"/>
          <w:lang w:eastAsia="en-US"/>
        </w:rPr>
        <w:t xml:space="preserve">more </w:t>
      </w:r>
      <w:r w:rsidRPr="00B63E94">
        <w:rPr>
          <w:rFonts w:ascii="Times New Roman" w:eastAsia="MS Mincho" w:hAnsi="Times New Roman" w:cs="Times New Roman"/>
          <w:sz w:val="24"/>
          <w:szCs w:val="24"/>
          <w:lang w:eastAsia="en-US"/>
        </w:rPr>
        <w:t xml:space="preserve">negative </w:t>
      </w:r>
      <w:r w:rsidR="00D712D7" w:rsidRPr="00B63E94">
        <w:rPr>
          <w:rFonts w:ascii="Times New Roman" w:eastAsia="MS Mincho" w:hAnsi="Times New Roman" w:cs="Times New Roman"/>
          <w:sz w:val="24"/>
          <w:szCs w:val="24"/>
          <w:lang w:eastAsia="en-US"/>
        </w:rPr>
        <w:t xml:space="preserve">social policy </w:t>
      </w:r>
      <w:r w:rsidRPr="00B63E94">
        <w:rPr>
          <w:rFonts w:ascii="Times New Roman" w:eastAsia="MS Mincho" w:hAnsi="Times New Roman" w:cs="Times New Roman"/>
          <w:sz w:val="24"/>
          <w:szCs w:val="24"/>
          <w:lang w:eastAsia="en-US"/>
        </w:rPr>
        <w:t xml:space="preserve">measures designed to channel disabled people into </w:t>
      </w:r>
      <w:r w:rsidR="00D712D7" w:rsidRPr="00B63E94">
        <w:rPr>
          <w:rFonts w:ascii="Times New Roman" w:eastAsia="MS Mincho" w:hAnsi="Times New Roman" w:cs="Times New Roman"/>
          <w:sz w:val="24"/>
          <w:szCs w:val="24"/>
          <w:lang w:eastAsia="en-US"/>
        </w:rPr>
        <w:t>job search activity</w:t>
      </w:r>
      <w:r w:rsidRPr="00B63E94">
        <w:rPr>
          <w:rFonts w:ascii="Times New Roman" w:eastAsia="MS Mincho" w:hAnsi="Times New Roman" w:cs="Times New Roman"/>
          <w:sz w:val="24"/>
          <w:szCs w:val="24"/>
          <w:lang w:eastAsia="en-US"/>
        </w:rPr>
        <w:t xml:space="preserve"> in the open labour market </w:t>
      </w:r>
      <w:r w:rsidR="00925C86" w:rsidRPr="00B63E94">
        <w:rPr>
          <w:rFonts w:ascii="Times New Roman" w:eastAsia="MS Mincho" w:hAnsi="Times New Roman" w:cs="Times New Roman"/>
          <w:sz w:val="24"/>
          <w:szCs w:val="24"/>
          <w:lang w:eastAsia="en-US"/>
        </w:rPr>
        <w:t xml:space="preserve">simply </w:t>
      </w:r>
      <w:r w:rsidRPr="00B63E94">
        <w:rPr>
          <w:rFonts w:ascii="Times New Roman" w:eastAsia="MS Mincho" w:hAnsi="Times New Roman" w:cs="Times New Roman"/>
          <w:sz w:val="24"/>
          <w:szCs w:val="24"/>
          <w:lang w:eastAsia="en-US"/>
        </w:rPr>
        <w:t>by removing or narrowing the</w:t>
      </w:r>
      <w:r w:rsidR="00D712D7" w:rsidRPr="00B63E94">
        <w:rPr>
          <w:rFonts w:ascii="Times New Roman" w:eastAsia="MS Mincho" w:hAnsi="Times New Roman" w:cs="Times New Roman"/>
          <w:sz w:val="24"/>
          <w:szCs w:val="24"/>
          <w:lang w:eastAsia="en-US"/>
        </w:rPr>
        <w:t>ir</w:t>
      </w:r>
      <w:r w:rsidRPr="00B63E94">
        <w:rPr>
          <w:rFonts w:ascii="Times New Roman" w:eastAsia="MS Mincho" w:hAnsi="Times New Roman" w:cs="Times New Roman"/>
          <w:sz w:val="24"/>
          <w:szCs w:val="24"/>
          <w:lang w:eastAsia="en-US"/>
        </w:rPr>
        <w:t xml:space="preserve"> eligibility criteria for out of work disability benefit schemes.</w:t>
      </w:r>
      <w:r w:rsidR="00D712D7" w:rsidRPr="00B63E94">
        <w:rPr>
          <w:rStyle w:val="FootnoteReference"/>
          <w:rFonts w:ascii="Times New Roman" w:eastAsia="MS Mincho" w:hAnsi="Times New Roman" w:cs="Times New Roman"/>
          <w:sz w:val="24"/>
          <w:szCs w:val="24"/>
          <w:lang w:eastAsia="en-US"/>
        </w:rPr>
        <w:footnoteReference w:id="24"/>
      </w:r>
      <w:r w:rsidRPr="00B63E94">
        <w:rPr>
          <w:rFonts w:ascii="Times New Roman" w:eastAsia="MS Mincho" w:hAnsi="Times New Roman" w:cs="Times New Roman"/>
          <w:sz w:val="24"/>
          <w:szCs w:val="24"/>
          <w:lang w:eastAsia="en-US"/>
        </w:rPr>
        <w:t xml:space="preserve"> In this way, the promotion of a stronger rights-based policy discourse has been accompanied by the promotion of a stronger responsibility-based policy discourse in the disability employment field. </w:t>
      </w:r>
    </w:p>
    <w:p w14:paraId="4567AC16" w14:textId="77777777" w:rsidR="000F6787" w:rsidRPr="00B63E94" w:rsidRDefault="000F6787" w:rsidP="00F22086">
      <w:pPr>
        <w:spacing w:line="360" w:lineRule="auto"/>
        <w:jc w:val="both"/>
        <w:rPr>
          <w:rFonts w:ascii="Times New Roman" w:hAnsi="Times New Roman" w:cs="Times New Roman"/>
          <w:bCs/>
          <w:sz w:val="24"/>
          <w:szCs w:val="24"/>
        </w:rPr>
      </w:pPr>
      <w:r w:rsidRPr="00B63E94">
        <w:rPr>
          <w:rFonts w:ascii="Times New Roman" w:eastAsia="MS Mincho" w:hAnsi="Times New Roman" w:cs="Times New Roman"/>
          <w:sz w:val="24"/>
          <w:szCs w:val="24"/>
          <w:lang w:eastAsia="en-US"/>
        </w:rPr>
        <w:t xml:space="preserve">In addition, the </w:t>
      </w:r>
      <w:r w:rsidR="00171D41" w:rsidRPr="00B63E94">
        <w:rPr>
          <w:rFonts w:ascii="Times New Roman" w:eastAsia="MS Mincho" w:hAnsi="Times New Roman" w:cs="Times New Roman"/>
          <w:sz w:val="24"/>
          <w:szCs w:val="24"/>
          <w:lang w:eastAsia="en-US"/>
        </w:rPr>
        <w:t xml:space="preserve">promotion </w:t>
      </w:r>
      <w:r w:rsidRPr="00B63E94">
        <w:rPr>
          <w:rFonts w:ascii="Times New Roman" w:eastAsia="MS Mincho" w:hAnsi="Times New Roman" w:cs="Times New Roman"/>
          <w:sz w:val="24"/>
          <w:szCs w:val="24"/>
          <w:lang w:eastAsia="en-US"/>
        </w:rPr>
        <w:t>of ‘social enterprise</w:t>
      </w:r>
      <w:r w:rsidR="00CB2227" w:rsidRPr="00B63E94">
        <w:rPr>
          <w:rFonts w:ascii="Times New Roman" w:eastAsia="MS Mincho" w:hAnsi="Times New Roman" w:cs="Times New Roman"/>
          <w:sz w:val="24"/>
          <w:szCs w:val="24"/>
          <w:lang w:eastAsia="en-US"/>
        </w:rPr>
        <w:t>s</w:t>
      </w:r>
      <w:r w:rsidRPr="00B63E94">
        <w:rPr>
          <w:rFonts w:ascii="Times New Roman" w:eastAsia="MS Mincho" w:hAnsi="Times New Roman" w:cs="Times New Roman"/>
          <w:sz w:val="24"/>
          <w:szCs w:val="24"/>
          <w:lang w:eastAsia="en-US"/>
        </w:rPr>
        <w:t xml:space="preserve">’ as a </w:t>
      </w:r>
      <w:r w:rsidR="00171D41" w:rsidRPr="00B63E94">
        <w:rPr>
          <w:rFonts w:ascii="Times New Roman" w:eastAsia="MS Mincho" w:hAnsi="Times New Roman" w:cs="Times New Roman"/>
          <w:sz w:val="24"/>
          <w:szCs w:val="24"/>
          <w:lang w:eastAsia="en-US"/>
        </w:rPr>
        <w:t xml:space="preserve">new </w:t>
      </w:r>
      <w:r w:rsidRPr="00B63E94">
        <w:rPr>
          <w:rFonts w:ascii="Times New Roman" w:eastAsia="MS Mincho" w:hAnsi="Times New Roman" w:cs="Times New Roman"/>
          <w:sz w:val="24"/>
          <w:szCs w:val="24"/>
          <w:lang w:eastAsia="en-US"/>
        </w:rPr>
        <w:t>category of business</w:t>
      </w:r>
      <w:r w:rsidR="00171D41" w:rsidRPr="00B63E94">
        <w:rPr>
          <w:rStyle w:val="FootnoteReference"/>
          <w:rFonts w:ascii="Times New Roman" w:eastAsia="MS Mincho" w:hAnsi="Times New Roman" w:cs="Times New Roman"/>
          <w:sz w:val="24"/>
          <w:szCs w:val="24"/>
          <w:lang w:eastAsia="en-US"/>
        </w:rPr>
        <w:footnoteReference w:id="25"/>
      </w:r>
      <w:r w:rsidRPr="00B63E94">
        <w:rPr>
          <w:rFonts w:ascii="Times New Roman" w:eastAsia="MS Mincho" w:hAnsi="Times New Roman" w:cs="Times New Roman"/>
          <w:sz w:val="24"/>
          <w:szCs w:val="24"/>
          <w:lang w:eastAsia="en-US"/>
        </w:rPr>
        <w:t xml:space="preserve"> </w:t>
      </w:r>
      <w:r w:rsidR="00171D41" w:rsidRPr="00B63E94">
        <w:rPr>
          <w:rFonts w:ascii="Times New Roman" w:eastAsia="MS Mincho" w:hAnsi="Times New Roman" w:cs="Times New Roman"/>
          <w:sz w:val="24"/>
          <w:szCs w:val="24"/>
          <w:lang w:eastAsia="en-US"/>
        </w:rPr>
        <w:t xml:space="preserve">has produced outcomes </w:t>
      </w:r>
      <w:r w:rsidRPr="00B63E94">
        <w:rPr>
          <w:rFonts w:ascii="Times New Roman" w:eastAsia="MS Mincho" w:hAnsi="Times New Roman" w:cs="Times New Roman"/>
          <w:sz w:val="24"/>
          <w:szCs w:val="24"/>
          <w:lang w:eastAsia="en-US"/>
        </w:rPr>
        <w:t xml:space="preserve">somewhere between sheltered and supported employment, in </w:t>
      </w:r>
      <w:r w:rsidR="00CB2227" w:rsidRPr="00B63E94">
        <w:rPr>
          <w:rFonts w:ascii="Times New Roman" w:eastAsia="MS Mincho" w:hAnsi="Times New Roman" w:cs="Times New Roman"/>
          <w:sz w:val="24"/>
          <w:szCs w:val="24"/>
          <w:lang w:eastAsia="en-US"/>
        </w:rPr>
        <w:t>that</w:t>
      </w:r>
      <w:r w:rsidRPr="00B63E94">
        <w:rPr>
          <w:rFonts w:ascii="Times New Roman" w:eastAsia="MS Mincho" w:hAnsi="Times New Roman" w:cs="Times New Roman"/>
          <w:sz w:val="24"/>
          <w:szCs w:val="24"/>
          <w:lang w:eastAsia="en-US"/>
        </w:rPr>
        <w:t xml:space="preserve"> companies may be formed </w:t>
      </w:r>
      <w:r w:rsidR="00171D41" w:rsidRPr="00B63E94">
        <w:rPr>
          <w:rFonts w:ascii="Times New Roman" w:eastAsia="MS Mincho" w:hAnsi="Times New Roman" w:cs="Times New Roman"/>
          <w:sz w:val="24"/>
          <w:szCs w:val="24"/>
          <w:lang w:eastAsia="en-US"/>
        </w:rPr>
        <w:t xml:space="preserve">specifically </w:t>
      </w:r>
      <w:r w:rsidRPr="00B63E94">
        <w:rPr>
          <w:rFonts w:ascii="Times New Roman" w:eastAsia="MS Mincho" w:hAnsi="Times New Roman" w:cs="Times New Roman"/>
          <w:sz w:val="24"/>
          <w:szCs w:val="24"/>
          <w:lang w:eastAsia="en-US"/>
        </w:rPr>
        <w:t>to employ disabled people</w:t>
      </w:r>
      <w:r w:rsidR="00CB2227" w:rsidRPr="00B63E94">
        <w:rPr>
          <w:rFonts w:ascii="Times New Roman" w:eastAsia="MS Mincho" w:hAnsi="Times New Roman" w:cs="Times New Roman"/>
          <w:sz w:val="24"/>
          <w:szCs w:val="24"/>
          <w:lang w:eastAsia="en-US"/>
        </w:rPr>
        <w:t>,</w:t>
      </w:r>
      <w:r w:rsidRPr="00B63E94">
        <w:rPr>
          <w:rFonts w:ascii="Times New Roman" w:eastAsia="MS Mincho" w:hAnsi="Times New Roman" w:cs="Times New Roman"/>
          <w:sz w:val="24"/>
          <w:szCs w:val="24"/>
          <w:lang w:eastAsia="en-US"/>
        </w:rPr>
        <w:t xml:space="preserve"> </w:t>
      </w:r>
      <w:r w:rsidR="00171D41" w:rsidRPr="00B63E94">
        <w:rPr>
          <w:rFonts w:ascii="Times New Roman" w:eastAsia="MS Mincho" w:hAnsi="Times New Roman" w:cs="Times New Roman"/>
          <w:sz w:val="24"/>
          <w:szCs w:val="24"/>
          <w:lang w:eastAsia="en-US"/>
        </w:rPr>
        <w:t xml:space="preserve">and with primarily social objectives, </w:t>
      </w:r>
      <w:r w:rsidRPr="00B63E94">
        <w:rPr>
          <w:rFonts w:ascii="Times New Roman" w:eastAsia="MS Mincho" w:hAnsi="Times New Roman" w:cs="Times New Roman"/>
          <w:sz w:val="24"/>
          <w:szCs w:val="24"/>
          <w:lang w:eastAsia="en-US"/>
        </w:rPr>
        <w:t xml:space="preserve">but with exposure to the </w:t>
      </w:r>
      <w:r w:rsidR="00CB2227" w:rsidRPr="00B63E94">
        <w:rPr>
          <w:rFonts w:ascii="Times New Roman" w:eastAsia="MS Mincho" w:hAnsi="Times New Roman" w:cs="Times New Roman"/>
          <w:sz w:val="24"/>
          <w:szCs w:val="24"/>
          <w:lang w:eastAsia="en-US"/>
        </w:rPr>
        <w:t xml:space="preserve">open </w:t>
      </w:r>
      <w:r w:rsidRPr="00B63E94">
        <w:rPr>
          <w:rFonts w:ascii="Times New Roman" w:eastAsia="MS Mincho" w:hAnsi="Times New Roman" w:cs="Times New Roman"/>
          <w:sz w:val="24"/>
          <w:szCs w:val="24"/>
          <w:lang w:eastAsia="en-US"/>
        </w:rPr>
        <w:t xml:space="preserve">market </w:t>
      </w:r>
      <w:r w:rsidR="00CB2227" w:rsidRPr="00B63E94">
        <w:rPr>
          <w:rFonts w:ascii="Times New Roman" w:eastAsia="MS Mincho" w:hAnsi="Times New Roman" w:cs="Times New Roman"/>
          <w:sz w:val="24"/>
          <w:szCs w:val="24"/>
          <w:lang w:eastAsia="en-US"/>
        </w:rPr>
        <w:t>when selling</w:t>
      </w:r>
      <w:r w:rsidRPr="00B63E94">
        <w:rPr>
          <w:rFonts w:ascii="Times New Roman" w:eastAsia="MS Mincho" w:hAnsi="Times New Roman" w:cs="Times New Roman"/>
          <w:sz w:val="24"/>
          <w:szCs w:val="24"/>
          <w:lang w:eastAsia="en-US"/>
        </w:rPr>
        <w:t xml:space="preserve"> their products or services. There are </w:t>
      </w:r>
      <w:r w:rsidR="00171D41" w:rsidRPr="00B63E94">
        <w:rPr>
          <w:rFonts w:ascii="Times New Roman" w:eastAsia="MS Mincho" w:hAnsi="Times New Roman" w:cs="Times New Roman"/>
          <w:sz w:val="24"/>
          <w:szCs w:val="24"/>
          <w:lang w:eastAsia="en-US"/>
        </w:rPr>
        <w:t xml:space="preserve">also policy </w:t>
      </w:r>
      <w:r w:rsidRPr="00B63E94">
        <w:rPr>
          <w:rFonts w:ascii="Times New Roman" w:eastAsia="MS Mincho" w:hAnsi="Times New Roman" w:cs="Times New Roman"/>
          <w:sz w:val="24"/>
          <w:szCs w:val="24"/>
          <w:lang w:eastAsia="en-US"/>
        </w:rPr>
        <w:t>examples of incentive and grant schemes target</w:t>
      </w:r>
      <w:r w:rsidR="00CB2227" w:rsidRPr="00B63E94">
        <w:rPr>
          <w:rFonts w:ascii="Times New Roman" w:eastAsia="MS Mincho" w:hAnsi="Times New Roman" w:cs="Times New Roman"/>
          <w:sz w:val="24"/>
          <w:szCs w:val="24"/>
          <w:lang w:eastAsia="en-US"/>
        </w:rPr>
        <w:t>ing</w:t>
      </w:r>
      <w:r w:rsidRPr="00B63E94">
        <w:rPr>
          <w:rFonts w:ascii="Times New Roman" w:eastAsia="MS Mincho" w:hAnsi="Times New Roman" w:cs="Times New Roman"/>
          <w:sz w:val="24"/>
          <w:szCs w:val="24"/>
          <w:lang w:eastAsia="en-US"/>
        </w:rPr>
        <w:t xml:space="preserve"> disabled people wishing to establish their own independent businesses as entrepreneurs.</w:t>
      </w:r>
      <w:r w:rsidR="00C94EAE" w:rsidRPr="00B63E94">
        <w:rPr>
          <w:rStyle w:val="FootnoteReference"/>
          <w:rFonts w:ascii="Times New Roman" w:eastAsia="MS Mincho" w:hAnsi="Times New Roman" w:cs="Times New Roman"/>
          <w:sz w:val="24"/>
          <w:szCs w:val="24"/>
          <w:lang w:eastAsia="en-US"/>
        </w:rPr>
        <w:footnoteReference w:id="26"/>
      </w:r>
      <w:r w:rsidRPr="00B63E94">
        <w:rPr>
          <w:rFonts w:ascii="Times New Roman" w:eastAsia="MS Mincho" w:hAnsi="Times New Roman" w:cs="Times New Roman"/>
          <w:sz w:val="24"/>
          <w:szCs w:val="24"/>
          <w:lang w:eastAsia="en-US"/>
        </w:rPr>
        <w:t xml:space="preserve"> </w:t>
      </w:r>
      <w:r w:rsidR="00915A8F" w:rsidRPr="00B63E94">
        <w:rPr>
          <w:rFonts w:ascii="Times New Roman" w:eastAsia="Times New Roman" w:hAnsi="Times New Roman" w:cs="Times New Roman"/>
          <w:sz w:val="24"/>
          <w:szCs w:val="24"/>
          <w:lang w:val="en-US" w:eastAsia="en-US"/>
        </w:rPr>
        <w:t xml:space="preserve">As Walls, Dowler, Cordingly, Orslene and Greer argue, the experience of micro-enterprise has enabled many disabled people to ‘redefine </w:t>
      </w:r>
      <w:proofErr w:type="gramStart"/>
      <w:r w:rsidR="00915A8F" w:rsidRPr="00B63E94">
        <w:rPr>
          <w:rFonts w:ascii="Times New Roman" w:eastAsia="Times New Roman" w:hAnsi="Times New Roman" w:cs="Times New Roman"/>
          <w:sz w:val="24"/>
          <w:szCs w:val="24"/>
          <w:lang w:val="en-US" w:eastAsia="en-US"/>
        </w:rPr>
        <w:t>success’</w:t>
      </w:r>
      <w:proofErr w:type="gramEnd"/>
      <w:r w:rsidR="00915A8F" w:rsidRPr="00B63E94">
        <w:rPr>
          <w:rFonts w:ascii="Times New Roman" w:eastAsia="Times New Roman" w:hAnsi="Times New Roman" w:cs="Times New Roman"/>
          <w:sz w:val="24"/>
          <w:szCs w:val="24"/>
          <w:lang w:val="en-US" w:eastAsia="en-US"/>
        </w:rPr>
        <w:t xml:space="preserve"> in employment, not simply in terms of income generation</w:t>
      </w:r>
      <w:r w:rsidR="00CB2227" w:rsidRPr="00B63E94">
        <w:rPr>
          <w:rFonts w:ascii="Times New Roman" w:eastAsia="Times New Roman" w:hAnsi="Times New Roman" w:cs="Times New Roman"/>
          <w:sz w:val="24"/>
          <w:szCs w:val="24"/>
          <w:lang w:val="en-US" w:eastAsia="en-US"/>
        </w:rPr>
        <w:t>,</w:t>
      </w:r>
      <w:r w:rsidR="00915A8F" w:rsidRPr="00B63E94">
        <w:rPr>
          <w:rFonts w:ascii="Times New Roman" w:eastAsia="Times New Roman" w:hAnsi="Times New Roman" w:cs="Times New Roman"/>
          <w:sz w:val="24"/>
          <w:szCs w:val="24"/>
          <w:lang w:val="en-US" w:eastAsia="en-US"/>
        </w:rPr>
        <w:t xml:space="preserve"> but also in achieving control over the day to day management of workloads, and workplace environments.</w:t>
      </w:r>
      <w:r w:rsidR="00C715E9" w:rsidRPr="00B63E94">
        <w:rPr>
          <w:rStyle w:val="FootnoteReference"/>
          <w:rFonts w:ascii="Times New Roman" w:eastAsia="Times New Roman" w:hAnsi="Times New Roman" w:cs="Times New Roman"/>
          <w:sz w:val="24"/>
          <w:szCs w:val="24"/>
          <w:lang w:val="en-US" w:eastAsia="en-US"/>
        </w:rPr>
        <w:footnoteReference w:id="27"/>
      </w:r>
    </w:p>
    <w:p w14:paraId="35419911" w14:textId="77777777" w:rsidR="00B47C45" w:rsidRPr="00B63E94" w:rsidRDefault="00570BE4" w:rsidP="00283D6C">
      <w:pPr>
        <w:pStyle w:val="Heading2"/>
        <w:rPr>
          <w:lang w:val="en-US" w:eastAsia="en-US"/>
        </w:rPr>
      </w:pPr>
      <w:r w:rsidRPr="00B63E94">
        <w:rPr>
          <w:lang w:val="en-US" w:eastAsia="en-US"/>
        </w:rPr>
        <w:lastRenderedPageBreak/>
        <w:t xml:space="preserve">The development of international law </w:t>
      </w:r>
      <w:r w:rsidRPr="00B63E94">
        <w:t>and</w:t>
      </w:r>
      <w:r w:rsidRPr="00B63E94">
        <w:rPr>
          <w:lang w:val="en-US" w:eastAsia="en-US"/>
        </w:rPr>
        <w:t xml:space="preserve"> policy</w:t>
      </w:r>
    </w:p>
    <w:p w14:paraId="3099E92F" w14:textId="77777777" w:rsidR="00570BE4" w:rsidRPr="00B63E94" w:rsidRDefault="002A14A7" w:rsidP="00F22086">
      <w:pPr>
        <w:pStyle w:val="Default"/>
        <w:spacing w:line="360" w:lineRule="auto"/>
        <w:jc w:val="both"/>
      </w:pPr>
      <w:r w:rsidRPr="00B63E94">
        <w:t xml:space="preserve">As outlined earlier, </w:t>
      </w:r>
      <w:r w:rsidR="00570BE4" w:rsidRPr="00B63E94">
        <w:t xml:space="preserve">Article 27 CRPD provides </w:t>
      </w:r>
      <w:r w:rsidRPr="00B63E94">
        <w:t>a</w:t>
      </w:r>
      <w:r w:rsidR="00570BE4" w:rsidRPr="00B63E94">
        <w:t xml:space="preserve"> context for thinking about the state of </w:t>
      </w:r>
      <w:r w:rsidR="00481527" w:rsidRPr="00B63E94">
        <w:t xml:space="preserve">the </w:t>
      </w:r>
      <w:r w:rsidR="00570BE4" w:rsidRPr="00B63E94">
        <w:t xml:space="preserve">art in disability and international employment law. Beyond </w:t>
      </w:r>
      <w:r w:rsidR="00481527" w:rsidRPr="00B63E94">
        <w:t>an</w:t>
      </w:r>
      <w:r w:rsidR="00570BE4" w:rsidRPr="00B63E94">
        <w:t xml:space="preserve"> assertive recognition of equal rights, choices and opportunities</w:t>
      </w:r>
      <w:r w:rsidR="00CB2227" w:rsidRPr="00B63E94">
        <w:t>,</w:t>
      </w:r>
      <w:r w:rsidR="00570BE4" w:rsidRPr="00B63E94">
        <w:t xml:space="preserve"> it sets out </w:t>
      </w:r>
      <w:r w:rsidR="00CB2227" w:rsidRPr="00B63E94">
        <w:t>eleven</w:t>
      </w:r>
      <w:r w:rsidR="00570BE4" w:rsidRPr="00B63E94">
        <w:t xml:space="preserve"> steps appropriate states </w:t>
      </w:r>
      <w:r w:rsidR="00AE22FB" w:rsidRPr="00B63E94">
        <w:t>should</w:t>
      </w:r>
      <w:r w:rsidR="00654F3B" w:rsidRPr="00B63E94">
        <w:t xml:space="preserve"> </w:t>
      </w:r>
      <w:r w:rsidR="00570BE4" w:rsidRPr="00B63E94">
        <w:t xml:space="preserve">take </w:t>
      </w:r>
      <w:r w:rsidR="00AE22FB" w:rsidRPr="00B63E94">
        <w:t>to</w:t>
      </w:r>
      <w:r w:rsidR="00570BE4" w:rsidRPr="00B63E94">
        <w:t xml:space="preserve"> </w:t>
      </w:r>
      <w:r w:rsidR="00E41BA0" w:rsidRPr="00B63E94">
        <w:t>safeguard and promot</w:t>
      </w:r>
      <w:r w:rsidR="00AE22FB" w:rsidRPr="00B63E94">
        <w:t>e</w:t>
      </w:r>
      <w:r w:rsidR="00570BE4" w:rsidRPr="00B63E94">
        <w:t xml:space="preserve"> these </w:t>
      </w:r>
      <w:r w:rsidR="00CB2227" w:rsidRPr="00B63E94">
        <w:t xml:space="preserve">employment-related </w:t>
      </w:r>
      <w:r w:rsidR="00570BE4" w:rsidRPr="00B63E94">
        <w:t xml:space="preserve">rights. </w:t>
      </w:r>
      <w:r w:rsidR="00E41BA0" w:rsidRPr="00B63E94">
        <w:t xml:space="preserve">For example, </w:t>
      </w:r>
      <w:r w:rsidR="00CB2227" w:rsidRPr="00B63E94">
        <w:t>the article requires</w:t>
      </w:r>
      <w:r w:rsidR="00E41BA0" w:rsidRPr="00B63E94">
        <w:t xml:space="preserve"> the prohibition of discrimination on the basis of disability in all aspects of recruitment, working conditions and relationships, remuneration and </w:t>
      </w:r>
      <w:r w:rsidRPr="00B63E94">
        <w:t>labour</w:t>
      </w:r>
      <w:r w:rsidR="00E41BA0" w:rsidRPr="00B63E94">
        <w:t xml:space="preserve"> rights. It highlights the need for </w:t>
      </w:r>
      <w:r w:rsidRPr="00B63E94">
        <w:t xml:space="preserve">good </w:t>
      </w:r>
      <w:r w:rsidR="00E41BA0" w:rsidRPr="00B63E94">
        <w:t xml:space="preserve">access to training, </w:t>
      </w:r>
      <w:r w:rsidRPr="00B63E94">
        <w:t>support for job searching</w:t>
      </w:r>
      <w:r w:rsidR="00E41BA0" w:rsidRPr="00B63E94">
        <w:t xml:space="preserve"> or </w:t>
      </w:r>
      <w:r w:rsidRPr="00B63E94">
        <w:t xml:space="preserve">help in </w:t>
      </w:r>
      <w:r w:rsidR="00E41BA0" w:rsidRPr="00B63E94">
        <w:t>starting a business.</w:t>
      </w:r>
      <w:r w:rsidRPr="00B63E94">
        <w:t xml:space="preserve"> It points to the significance of reasonable adjustment and appropriate vocational rehabilitation (also highlighted in Article 26). </w:t>
      </w:r>
      <w:r w:rsidR="00570BE4" w:rsidRPr="00B63E94">
        <w:t>It also outlaws slavery and other forms of forced labour</w:t>
      </w:r>
      <w:r w:rsidRPr="00B63E94">
        <w:t xml:space="preserve"> </w:t>
      </w:r>
      <w:r w:rsidR="00AE22FB" w:rsidRPr="00B63E94">
        <w:t xml:space="preserve">of disabled people </w:t>
      </w:r>
      <w:r w:rsidRPr="00B63E94">
        <w:t>on an equal basis with others</w:t>
      </w:r>
      <w:r w:rsidR="00570BE4" w:rsidRPr="00B63E94">
        <w:t>.</w:t>
      </w:r>
      <w:r w:rsidRPr="00B63E94">
        <w:t xml:space="preserve"> These provisions </w:t>
      </w:r>
      <w:r w:rsidR="0023509B" w:rsidRPr="00B63E94">
        <w:t xml:space="preserve">are intended to apply both to public and private sector employment and </w:t>
      </w:r>
      <w:r w:rsidRPr="00B63E94">
        <w:t xml:space="preserve">are supported by other </w:t>
      </w:r>
      <w:r w:rsidR="00CB2227" w:rsidRPr="00B63E94">
        <w:t>a</w:t>
      </w:r>
      <w:r w:rsidRPr="00B63E94">
        <w:t xml:space="preserve">rticles of the Convention, </w:t>
      </w:r>
      <w:r w:rsidR="00CB2227" w:rsidRPr="00B63E94">
        <w:t xml:space="preserve">and </w:t>
      </w:r>
      <w:r w:rsidRPr="00B63E94">
        <w:t xml:space="preserve">particularly by Article 9 which requires that barriers to accessibility should be removed from workplaces (as well as from other buildings, roads, </w:t>
      </w:r>
      <w:r w:rsidR="005159DD" w:rsidRPr="00B63E94">
        <w:t xml:space="preserve">forms of </w:t>
      </w:r>
      <w:r w:rsidRPr="00B63E94">
        <w:t>transport</w:t>
      </w:r>
      <w:r w:rsidR="005159DD" w:rsidRPr="00B63E94">
        <w:t xml:space="preserve"> and information technologies).</w:t>
      </w:r>
    </w:p>
    <w:p w14:paraId="1B9378E8" w14:textId="77777777" w:rsidR="00570BE4" w:rsidRPr="00B63E94" w:rsidRDefault="00570BE4" w:rsidP="00F22086">
      <w:pPr>
        <w:pStyle w:val="Default"/>
        <w:spacing w:line="360" w:lineRule="auto"/>
        <w:jc w:val="both"/>
      </w:pPr>
    </w:p>
    <w:p w14:paraId="0392250A" w14:textId="17104A52" w:rsidR="00374078" w:rsidRPr="00B63E94" w:rsidRDefault="00F743DA" w:rsidP="00F22086">
      <w:pPr>
        <w:pStyle w:val="Default"/>
        <w:spacing w:line="360" w:lineRule="auto"/>
        <w:jc w:val="both"/>
      </w:pPr>
      <w:r w:rsidRPr="00B63E94">
        <w:t>The CRPD was preceded by a number of other instruments of international law</w:t>
      </w:r>
      <w:r w:rsidR="004F10F7" w:rsidRPr="00B63E94">
        <w:t>,</w:t>
      </w:r>
      <w:r w:rsidRPr="00B63E94">
        <w:t xml:space="preserve"> which addressed the employment of disabled people. </w:t>
      </w:r>
      <w:r w:rsidR="00570BE4" w:rsidRPr="00B63E94">
        <w:t xml:space="preserve">One of the earliest international instruments specifically addressing the employment of disabled people </w:t>
      </w:r>
      <w:r w:rsidR="004978CA" w:rsidRPr="00B63E94">
        <w:t>was</w:t>
      </w:r>
      <w:r w:rsidR="00570BE4" w:rsidRPr="00B63E94">
        <w:t xml:space="preserve"> Recommendation No. 99 of the International Labour Organisation (ILO) on Vocational Rehabilitation (Disabled). This dates from 1955</w:t>
      </w:r>
      <w:r w:rsidR="004978CA" w:rsidRPr="00B63E94">
        <w:t xml:space="preserve"> and</w:t>
      </w:r>
      <w:r w:rsidR="00570BE4" w:rsidRPr="00B63E94">
        <w:t xml:space="preserve"> was quite forward looking for its time </w:t>
      </w:r>
      <w:r w:rsidR="001A02EA" w:rsidRPr="00B63E94">
        <w:t>and prefigur</w:t>
      </w:r>
      <w:r w:rsidR="00C270CA" w:rsidRPr="00B63E94">
        <w:t>ed</w:t>
      </w:r>
      <w:r w:rsidR="001A02EA" w:rsidRPr="00B63E94">
        <w:t xml:space="preserve"> the spirit of the CRPD in some respects</w:t>
      </w:r>
      <w:r w:rsidR="00570BE4" w:rsidRPr="00B63E94">
        <w:t>. It stresse</w:t>
      </w:r>
      <w:r w:rsidR="00F17184" w:rsidRPr="00B63E94">
        <w:t>d</w:t>
      </w:r>
      <w:r w:rsidR="00570BE4" w:rsidRPr="00B63E94">
        <w:t xml:space="preserve"> that the goal of vocational training </w:t>
      </w:r>
      <w:r w:rsidR="00F17184" w:rsidRPr="00B63E94">
        <w:t>was</w:t>
      </w:r>
      <w:r w:rsidR="00570BE4" w:rsidRPr="00B63E94">
        <w:t xml:space="preserve"> to prepare the disabled person </w:t>
      </w:r>
      <w:r w:rsidR="004978CA" w:rsidRPr="00B63E94">
        <w:t>‘</w:t>
      </w:r>
      <w:r w:rsidR="00570BE4" w:rsidRPr="00B63E94">
        <w:t>for working normally on an equal basis with non-disabled workers if he is capable of doing so</w:t>
      </w:r>
      <w:r w:rsidR="004978CA" w:rsidRPr="00B63E94">
        <w:t>’</w:t>
      </w:r>
      <w:r w:rsidR="00570BE4" w:rsidRPr="00B63E94">
        <w:rPr>
          <w:rStyle w:val="FootnoteReference"/>
        </w:rPr>
        <w:footnoteReference w:id="28"/>
      </w:r>
      <w:r w:rsidR="00570BE4" w:rsidRPr="00B63E94">
        <w:t xml:space="preserve"> and note</w:t>
      </w:r>
      <w:r w:rsidR="00F17184" w:rsidRPr="00B63E94">
        <w:t>d</w:t>
      </w:r>
      <w:r w:rsidR="00570BE4" w:rsidRPr="00B63E94">
        <w:t xml:space="preserve"> that measures designed to widen employment opportunities for disabled persons should be based on </w:t>
      </w:r>
      <w:r w:rsidR="00C270CA" w:rsidRPr="00B63E94">
        <w:t>the following three principles:</w:t>
      </w:r>
    </w:p>
    <w:p w14:paraId="18A3B26C" w14:textId="77777777" w:rsidR="00374078" w:rsidRPr="00B63E94" w:rsidRDefault="00374078" w:rsidP="00F22086">
      <w:pPr>
        <w:pStyle w:val="Quote"/>
        <w:spacing w:line="360" w:lineRule="auto"/>
        <w:jc w:val="both"/>
        <w:rPr>
          <w:rFonts w:ascii="Times New Roman" w:hAnsi="Times New Roman" w:cs="Times New Roman"/>
          <w:sz w:val="24"/>
          <w:szCs w:val="24"/>
        </w:rPr>
      </w:pPr>
      <w:r w:rsidRPr="00B63E94">
        <w:rPr>
          <w:rFonts w:ascii="Times New Roman" w:hAnsi="Times New Roman" w:cs="Times New Roman"/>
          <w:sz w:val="24"/>
          <w:szCs w:val="24"/>
        </w:rPr>
        <w:t xml:space="preserve">(a) </w:t>
      </w:r>
      <w:proofErr w:type="gramStart"/>
      <w:r w:rsidRPr="00B63E94">
        <w:rPr>
          <w:rFonts w:ascii="Times New Roman" w:hAnsi="Times New Roman" w:cs="Times New Roman"/>
          <w:sz w:val="24"/>
          <w:szCs w:val="24"/>
        </w:rPr>
        <w:t>disabled</w:t>
      </w:r>
      <w:proofErr w:type="gramEnd"/>
      <w:r w:rsidRPr="00B63E94">
        <w:rPr>
          <w:rFonts w:ascii="Times New Roman" w:hAnsi="Times New Roman" w:cs="Times New Roman"/>
          <w:sz w:val="24"/>
          <w:szCs w:val="24"/>
        </w:rPr>
        <w:t xml:space="preserve"> persons should be afforded an equal opportunity with the non-disabled to perform work for which they are qualified;</w:t>
      </w:r>
    </w:p>
    <w:p w14:paraId="5B009F24" w14:textId="77777777" w:rsidR="00374078" w:rsidRPr="00B63E94" w:rsidRDefault="00374078" w:rsidP="00F22086">
      <w:pPr>
        <w:pStyle w:val="Quote"/>
        <w:spacing w:line="360" w:lineRule="auto"/>
        <w:jc w:val="both"/>
        <w:rPr>
          <w:rFonts w:ascii="Times New Roman" w:hAnsi="Times New Roman" w:cs="Times New Roman"/>
          <w:sz w:val="24"/>
          <w:szCs w:val="24"/>
        </w:rPr>
      </w:pPr>
      <w:r w:rsidRPr="00B63E94">
        <w:rPr>
          <w:rFonts w:ascii="Times New Roman" w:hAnsi="Times New Roman" w:cs="Times New Roman"/>
          <w:sz w:val="24"/>
          <w:szCs w:val="24"/>
        </w:rPr>
        <w:t xml:space="preserve">(b) </w:t>
      </w:r>
      <w:proofErr w:type="gramStart"/>
      <w:r w:rsidRPr="00B63E94">
        <w:rPr>
          <w:rFonts w:ascii="Times New Roman" w:hAnsi="Times New Roman" w:cs="Times New Roman"/>
          <w:sz w:val="24"/>
          <w:szCs w:val="24"/>
        </w:rPr>
        <w:t>disabled</w:t>
      </w:r>
      <w:proofErr w:type="gramEnd"/>
      <w:r w:rsidRPr="00B63E94">
        <w:rPr>
          <w:rFonts w:ascii="Times New Roman" w:hAnsi="Times New Roman" w:cs="Times New Roman"/>
          <w:sz w:val="24"/>
          <w:szCs w:val="24"/>
        </w:rPr>
        <w:t xml:space="preserve"> persons should have full opportunity to accept suitable work with employers of their own choice;</w:t>
      </w:r>
    </w:p>
    <w:p w14:paraId="41E613FA" w14:textId="77777777" w:rsidR="00374078" w:rsidRPr="00B63E94" w:rsidRDefault="00374078" w:rsidP="00F22086">
      <w:pPr>
        <w:pStyle w:val="Quote"/>
        <w:spacing w:line="360" w:lineRule="auto"/>
        <w:jc w:val="both"/>
        <w:rPr>
          <w:rFonts w:ascii="Times New Roman" w:hAnsi="Times New Roman" w:cs="Times New Roman"/>
          <w:sz w:val="24"/>
          <w:szCs w:val="24"/>
        </w:rPr>
      </w:pPr>
      <w:r w:rsidRPr="00B63E94">
        <w:rPr>
          <w:rFonts w:ascii="Times New Roman" w:hAnsi="Times New Roman" w:cs="Times New Roman"/>
          <w:sz w:val="24"/>
          <w:szCs w:val="24"/>
        </w:rPr>
        <w:lastRenderedPageBreak/>
        <w:t xml:space="preserve">(c) </w:t>
      </w:r>
      <w:proofErr w:type="gramStart"/>
      <w:r w:rsidRPr="00B63E94">
        <w:rPr>
          <w:rFonts w:ascii="Times New Roman" w:hAnsi="Times New Roman" w:cs="Times New Roman"/>
          <w:sz w:val="24"/>
          <w:szCs w:val="24"/>
        </w:rPr>
        <w:t>emphasis</w:t>
      </w:r>
      <w:proofErr w:type="gramEnd"/>
      <w:r w:rsidRPr="00B63E94">
        <w:rPr>
          <w:rFonts w:ascii="Times New Roman" w:hAnsi="Times New Roman" w:cs="Times New Roman"/>
          <w:sz w:val="24"/>
          <w:szCs w:val="24"/>
        </w:rPr>
        <w:t xml:space="preserve"> should be placed on the abilities and work capacities of disabled persons and not on their disabilities.</w:t>
      </w:r>
      <w:r w:rsidR="00570BE4" w:rsidRPr="00B63E94">
        <w:rPr>
          <w:rStyle w:val="FootnoteReference"/>
          <w:rFonts w:ascii="Times New Roman" w:hAnsi="Times New Roman" w:cs="Times New Roman"/>
          <w:sz w:val="24"/>
          <w:szCs w:val="24"/>
        </w:rPr>
        <w:footnoteReference w:id="29"/>
      </w:r>
      <w:r w:rsidR="00570BE4" w:rsidRPr="00B63E94">
        <w:rPr>
          <w:rFonts w:ascii="Times New Roman" w:hAnsi="Times New Roman" w:cs="Times New Roman"/>
          <w:sz w:val="24"/>
          <w:szCs w:val="24"/>
        </w:rPr>
        <w:t xml:space="preserve"> </w:t>
      </w:r>
    </w:p>
    <w:p w14:paraId="329926E0" w14:textId="77777777" w:rsidR="00570BE4" w:rsidRPr="00B63E94" w:rsidRDefault="00570BE4" w:rsidP="00F22086">
      <w:pPr>
        <w:pStyle w:val="Default"/>
        <w:spacing w:line="360" w:lineRule="auto"/>
        <w:jc w:val="both"/>
      </w:pPr>
      <w:r w:rsidRPr="00B63E94">
        <w:t xml:space="preserve">The Recommendation </w:t>
      </w:r>
      <w:r w:rsidR="00F17184" w:rsidRPr="00B63E94">
        <w:t>made</w:t>
      </w:r>
      <w:r w:rsidRPr="00B63E94">
        <w:t xml:space="preserve"> reference to both employment promotion measures and</w:t>
      </w:r>
      <w:r w:rsidR="00F17184" w:rsidRPr="00B63E94">
        <w:t xml:space="preserve"> to</w:t>
      </w:r>
      <w:r w:rsidRPr="00B63E94">
        <w:t xml:space="preserve"> sheltered employment</w:t>
      </w:r>
      <w:r w:rsidR="00CB2227" w:rsidRPr="00B63E94">
        <w:t>,</w:t>
      </w:r>
      <w:r w:rsidR="00C270CA" w:rsidRPr="00B63E94">
        <w:t xml:space="preserve"> but the latter was to be </w:t>
      </w:r>
      <w:r w:rsidRPr="00B63E94">
        <w:t xml:space="preserve">reserved </w:t>
      </w:r>
      <w:r w:rsidR="00C270CA" w:rsidRPr="00B63E94">
        <w:t xml:space="preserve">only </w:t>
      </w:r>
      <w:r w:rsidRPr="00B63E94">
        <w:t xml:space="preserve">for those </w:t>
      </w:r>
      <w:r w:rsidR="00E1391D" w:rsidRPr="00B63E94">
        <w:t>‘</w:t>
      </w:r>
      <w:r w:rsidRPr="00B63E94">
        <w:t>who cannot be made fit for ordinary competitive employment</w:t>
      </w:r>
      <w:r w:rsidR="00E1391D" w:rsidRPr="00B63E94">
        <w:t>’</w:t>
      </w:r>
      <w:r w:rsidRPr="00B63E94">
        <w:t>.</w:t>
      </w:r>
      <w:r w:rsidRPr="00B63E94">
        <w:rPr>
          <w:rStyle w:val="FootnoteReference"/>
        </w:rPr>
        <w:footnoteReference w:id="30"/>
      </w:r>
      <w:r w:rsidRPr="00B63E94">
        <w:t xml:space="preserve"> Sheltered workshops </w:t>
      </w:r>
      <w:r w:rsidR="00F17184" w:rsidRPr="00B63E94">
        <w:t>were</w:t>
      </w:r>
      <w:r w:rsidRPr="00B63E94">
        <w:t xml:space="preserve"> to provide both </w:t>
      </w:r>
      <w:r w:rsidR="00E1391D" w:rsidRPr="00B63E94">
        <w:t>‘</w:t>
      </w:r>
      <w:r w:rsidRPr="00B63E94">
        <w:t>useful and remunerative work</w:t>
      </w:r>
      <w:r w:rsidR="00E1391D" w:rsidRPr="00B63E94">
        <w:t>’</w:t>
      </w:r>
      <w:r w:rsidRPr="00B63E94">
        <w:t xml:space="preserve"> and </w:t>
      </w:r>
      <w:r w:rsidR="00E1391D" w:rsidRPr="00B63E94">
        <w:t>‘</w:t>
      </w:r>
      <w:r w:rsidRPr="00B63E94">
        <w:t>opportunities for vocational adjustment and advancements</w:t>
      </w:r>
      <w:r w:rsidR="00E1391D" w:rsidRPr="00B63E94">
        <w:t>’</w:t>
      </w:r>
      <w:r w:rsidRPr="00B63E94">
        <w:t xml:space="preserve"> with the opportunity to transfer to open employment wherever possible.</w:t>
      </w:r>
      <w:r w:rsidRPr="00B63E94">
        <w:rPr>
          <w:rStyle w:val="FootnoteReference"/>
        </w:rPr>
        <w:footnoteReference w:id="31"/>
      </w:r>
      <w:r w:rsidRPr="00B63E94">
        <w:t xml:space="preserve">  Disabled workers employed in sheltered workshops should enjoy the same protection in terms of employment conditions and statutory wage regulation as other workers.</w:t>
      </w:r>
      <w:r w:rsidRPr="00B63E94">
        <w:rPr>
          <w:rStyle w:val="FootnoteReference"/>
        </w:rPr>
        <w:footnoteReference w:id="32"/>
      </w:r>
      <w:r w:rsidRPr="00B63E94">
        <w:t xml:space="preserve"> Sheltered workshops </w:t>
      </w:r>
      <w:r w:rsidR="00F17184" w:rsidRPr="00B63E94">
        <w:t>were</w:t>
      </w:r>
      <w:r w:rsidRPr="00B63E94">
        <w:t xml:space="preserve"> therefore seen as an important element of disability employment policy under </w:t>
      </w:r>
      <w:r w:rsidR="00C270CA" w:rsidRPr="00B63E94">
        <w:t>this</w:t>
      </w:r>
      <w:r w:rsidRPr="00B63E94">
        <w:t xml:space="preserve"> Recommendation, </w:t>
      </w:r>
      <w:r w:rsidR="00F17184" w:rsidRPr="00B63E94">
        <w:t>with</w:t>
      </w:r>
      <w:r w:rsidRPr="00B63E94">
        <w:t xml:space="preserve"> certain safeguards recommended to ensure that only those regarded as unable to work in the open labour market </w:t>
      </w:r>
      <w:r w:rsidR="00F17184" w:rsidRPr="00B63E94">
        <w:t>would be</w:t>
      </w:r>
      <w:r w:rsidRPr="00B63E94">
        <w:t xml:space="preserve"> placed in sheltered employment, and that </w:t>
      </w:r>
      <w:r w:rsidR="00F17184" w:rsidRPr="00B63E94">
        <w:t>they would continue to</w:t>
      </w:r>
      <w:r w:rsidRPr="00B63E94">
        <w:t xml:space="preserve"> benefit from the general protection of labour law.</w:t>
      </w:r>
      <w:r w:rsidR="00C270CA" w:rsidRPr="00B63E94">
        <w:t xml:space="preserve"> Disability employment policy in the 1950s was, however, still largely framed by a discourse of rehabilitation rather than one of rights.</w:t>
      </w:r>
    </w:p>
    <w:p w14:paraId="38753D09" w14:textId="77777777" w:rsidR="00570BE4" w:rsidRPr="00B63E94" w:rsidRDefault="00570BE4" w:rsidP="00F22086">
      <w:pPr>
        <w:pStyle w:val="Default"/>
        <w:spacing w:line="360" w:lineRule="auto"/>
        <w:jc w:val="both"/>
      </w:pPr>
    </w:p>
    <w:p w14:paraId="04B35E10" w14:textId="7E5926DB" w:rsidR="00570BE4" w:rsidRPr="00B63E94" w:rsidRDefault="00570BE4" w:rsidP="00F22086">
      <w:pPr>
        <w:pStyle w:val="Default"/>
        <w:spacing w:line="360" w:lineRule="auto"/>
        <w:jc w:val="both"/>
      </w:pPr>
      <w:r w:rsidRPr="00B63E94">
        <w:t xml:space="preserve">The </w:t>
      </w:r>
      <w:r w:rsidR="004B5AEB" w:rsidRPr="00B63E94">
        <w:t xml:space="preserve">1955 ILO </w:t>
      </w:r>
      <w:r w:rsidR="00C270CA" w:rsidRPr="00B63E94">
        <w:t>Recommendation did refer</w:t>
      </w:r>
      <w:r w:rsidRPr="00B63E94">
        <w:t xml:space="preserve"> to measures to promote the employment of disabled people in the </w:t>
      </w:r>
      <w:r w:rsidR="00C270CA" w:rsidRPr="00B63E94">
        <w:t xml:space="preserve">open </w:t>
      </w:r>
      <w:r w:rsidRPr="00B63E94">
        <w:t>labour market. The recommended measures include</w:t>
      </w:r>
      <w:r w:rsidR="00C270CA" w:rsidRPr="00B63E94">
        <w:t>d</w:t>
      </w:r>
      <w:r w:rsidRPr="00B63E94">
        <w:t xml:space="preserve"> the </w:t>
      </w:r>
      <w:r w:rsidR="00E1391D" w:rsidRPr="00B63E94">
        <w:t>‘</w:t>
      </w:r>
      <w:r w:rsidRPr="00B63E94">
        <w:t>engagement by employers of a percentage of disabled persons</w:t>
      </w:r>
      <w:r w:rsidR="00E1391D" w:rsidRPr="00B63E94">
        <w:t>’</w:t>
      </w:r>
      <w:r w:rsidR="00C270CA" w:rsidRPr="00B63E94">
        <w:t xml:space="preserve"> (</w:t>
      </w:r>
      <w:r w:rsidRPr="00B63E94">
        <w:t xml:space="preserve">i.e. a quota system, reserving certain designated occupations for disabled people, and </w:t>
      </w:r>
      <w:r w:rsidR="00E1391D" w:rsidRPr="00B63E94">
        <w:t>‘</w:t>
      </w:r>
      <w:r w:rsidRPr="00B63E94">
        <w:t>arranging that seriously disabled persons are given opportunities for employment or preference in certain occupations considered suitable for them</w:t>
      </w:r>
      <w:r w:rsidR="00E1391D" w:rsidRPr="00B63E94">
        <w:t>’</w:t>
      </w:r>
      <w:r w:rsidR="00C270CA" w:rsidRPr="00B63E94">
        <w:t xml:space="preserve"> (i.e. reserving some types of jobs for disabled people)</w:t>
      </w:r>
      <w:r w:rsidRPr="00B63E94">
        <w:t>.</w:t>
      </w:r>
      <w:r w:rsidRPr="00B63E94">
        <w:rPr>
          <w:rStyle w:val="FootnoteReference"/>
        </w:rPr>
        <w:footnoteReference w:id="33"/>
      </w:r>
      <w:r w:rsidRPr="00B63E94">
        <w:t xml:space="preserve"> </w:t>
      </w:r>
      <w:r w:rsidR="00C270CA" w:rsidRPr="00B63E94">
        <w:t>Such approaches were widely implemented in numerous countries but s</w:t>
      </w:r>
      <w:r w:rsidRPr="00B63E94">
        <w:t xml:space="preserve">een from the perspective of </w:t>
      </w:r>
      <w:r w:rsidR="00C270CA" w:rsidRPr="00B63E94">
        <w:t>today</w:t>
      </w:r>
      <w:r w:rsidRPr="00B63E94">
        <w:t xml:space="preserve"> it is questionable both how effective such measures are and the extent to which they result in stigmatizing the beneficiaries.</w:t>
      </w:r>
      <w:r w:rsidRPr="00B63E94">
        <w:rPr>
          <w:rStyle w:val="FootnoteReference"/>
        </w:rPr>
        <w:footnoteReference w:id="34"/>
      </w:r>
    </w:p>
    <w:p w14:paraId="702C2C7B" w14:textId="77777777" w:rsidR="00570BE4" w:rsidRPr="00B63E94" w:rsidRDefault="00570BE4" w:rsidP="00F22086">
      <w:pPr>
        <w:pStyle w:val="Default"/>
        <w:spacing w:line="360" w:lineRule="auto"/>
        <w:jc w:val="both"/>
      </w:pPr>
    </w:p>
    <w:p w14:paraId="69B34C03" w14:textId="3D349C64" w:rsidR="00D81116" w:rsidRPr="00B63E94" w:rsidRDefault="00D81116"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lastRenderedPageBreak/>
        <w:t xml:space="preserve">Following the UN International Year of Disabled Persons in 1981, the ILO adopted Convention </w:t>
      </w:r>
      <w:r w:rsidR="00CB2227" w:rsidRPr="00B63E94">
        <w:rPr>
          <w:rFonts w:ascii="Times New Roman" w:eastAsia="Times New Roman" w:hAnsi="Times New Roman" w:cs="Times New Roman"/>
          <w:sz w:val="24"/>
          <w:szCs w:val="24"/>
          <w:lang w:val="en-US" w:eastAsia="en-US"/>
        </w:rPr>
        <w:t xml:space="preserve">No. 159 </w:t>
      </w:r>
      <w:r w:rsidRPr="00B63E94">
        <w:rPr>
          <w:rFonts w:ascii="Times New Roman" w:eastAsia="Times New Roman" w:hAnsi="Times New Roman" w:cs="Times New Roman"/>
          <w:sz w:val="24"/>
          <w:szCs w:val="24"/>
          <w:lang w:val="en-US" w:eastAsia="en-US"/>
        </w:rPr>
        <w:t>in 1983</w:t>
      </w:r>
      <w:r w:rsidR="00CB2227" w:rsidRPr="00B63E94">
        <w:rPr>
          <w:rFonts w:ascii="Times New Roman" w:eastAsia="Times New Roman" w:hAnsi="Times New Roman" w:cs="Times New Roman"/>
          <w:sz w:val="24"/>
          <w:szCs w:val="24"/>
          <w:lang w:val="en-US" w:eastAsia="en-US"/>
        </w:rPr>
        <w:t>,</w:t>
      </w:r>
      <w:r w:rsidRPr="00B63E94">
        <w:rPr>
          <w:rFonts w:ascii="Times New Roman" w:eastAsia="Times New Roman" w:hAnsi="Times New Roman" w:cs="Times New Roman"/>
          <w:sz w:val="24"/>
          <w:szCs w:val="24"/>
          <w:lang w:val="en-US" w:eastAsia="en-US"/>
        </w:rPr>
        <w:t xml:space="preserve"> with </w:t>
      </w:r>
      <w:r w:rsidR="00F743DA" w:rsidRPr="00B63E94">
        <w:rPr>
          <w:rFonts w:ascii="Times New Roman" w:eastAsia="Times New Roman" w:hAnsi="Times New Roman" w:cs="Times New Roman"/>
          <w:sz w:val="24"/>
          <w:szCs w:val="24"/>
          <w:lang w:val="en-US" w:eastAsia="en-US"/>
        </w:rPr>
        <w:t>an</w:t>
      </w:r>
      <w:r w:rsidRPr="00B63E94">
        <w:rPr>
          <w:rFonts w:ascii="Times New Roman" w:eastAsia="Times New Roman" w:hAnsi="Times New Roman" w:cs="Times New Roman"/>
          <w:sz w:val="24"/>
          <w:szCs w:val="24"/>
          <w:lang w:val="en-US" w:eastAsia="en-US"/>
        </w:rPr>
        <w:t xml:space="preserve"> accompanying Recommendation No. 167 o</w:t>
      </w:r>
      <w:r w:rsidR="00CB2227" w:rsidRPr="00B63E94">
        <w:rPr>
          <w:rFonts w:ascii="Times New Roman" w:eastAsia="Times New Roman" w:hAnsi="Times New Roman" w:cs="Times New Roman"/>
          <w:sz w:val="24"/>
          <w:szCs w:val="24"/>
          <w:lang w:val="en-US" w:eastAsia="en-US"/>
        </w:rPr>
        <w:t>n</w:t>
      </w:r>
      <w:r w:rsidRPr="00B63E94">
        <w:rPr>
          <w:rFonts w:ascii="Times New Roman" w:eastAsia="Times New Roman" w:hAnsi="Times New Roman" w:cs="Times New Roman"/>
          <w:sz w:val="24"/>
          <w:szCs w:val="24"/>
          <w:lang w:val="en-US" w:eastAsia="en-US"/>
        </w:rPr>
        <w:t xml:space="preserve"> international standards to promote greater equality of opportunity and treatment in employment. This instrument was still framed within a discourse of rehabilitation and adopted an individual impairment-related definition of disability, rather than a social model definition, such that ‘the term disabled person means an individual whose prospects of securing, retaining and advancing in suitable employment are substantially reduced as a result of a duly recognized physical or mental impairment’ (Article 1). Nonetheless, it was also founded on </w:t>
      </w:r>
      <w:r w:rsidR="00AE22FB" w:rsidRPr="00B63E94">
        <w:rPr>
          <w:rFonts w:ascii="Times New Roman" w:eastAsia="Times New Roman" w:hAnsi="Times New Roman" w:cs="Times New Roman"/>
          <w:sz w:val="24"/>
          <w:szCs w:val="24"/>
          <w:lang w:val="en-US" w:eastAsia="en-US"/>
        </w:rPr>
        <w:t>the</w:t>
      </w:r>
      <w:r w:rsidRPr="00B63E94">
        <w:rPr>
          <w:rFonts w:ascii="Times New Roman" w:eastAsia="Times New Roman" w:hAnsi="Times New Roman" w:cs="Times New Roman"/>
          <w:sz w:val="24"/>
          <w:szCs w:val="24"/>
          <w:lang w:val="en-US" w:eastAsia="en-US"/>
        </w:rPr>
        <w:t xml:space="preserve"> principle of equal opportunity, couched in the following terms:</w:t>
      </w:r>
    </w:p>
    <w:p w14:paraId="1E780D7F" w14:textId="77777777" w:rsidR="00D81116" w:rsidRPr="00B63E94" w:rsidRDefault="00D81116" w:rsidP="00F22086">
      <w:pPr>
        <w:pStyle w:val="Quote"/>
        <w:spacing w:line="360" w:lineRule="auto"/>
        <w:jc w:val="both"/>
        <w:rPr>
          <w:rFonts w:ascii="Times New Roman" w:hAnsi="Times New Roman" w:cs="Times New Roman"/>
          <w:sz w:val="24"/>
          <w:szCs w:val="24"/>
          <w:lang w:eastAsia="en-US"/>
        </w:rPr>
      </w:pPr>
      <w:r w:rsidRPr="00B63E94">
        <w:rPr>
          <w:rFonts w:ascii="Times New Roman" w:hAnsi="Times New Roman" w:cs="Times New Roman"/>
          <w:sz w:val="24"/>
          <w:szCs w:val="24"/>
          <w:lang w:eastAsia="en-US"/>
        </w:rPr>
        <w:t>The said policy shall be based on the principle of equal opportunity between disabled workers and workers generally. Equality of opportunity and treatment for disabled men and women workers shall be respected. Special positive measures aimed at effective equality of opportunity and treatment between disabled workers and other workers shall not be regarded as discriminating against other workers. (Article 4)</w:t>
      </w:r>
    </w:p>
    <w:p w14:paraId="7EAA8505" w14:textId="77777777" w:rsidR="00570BE4" w:rsidRPr="00B63E94" w:rsidRDefault="00570BE4" w:rsidP="00F22086">
      <w:pPr>
        <w:pStyle w:val="Default"/>
        <w:spacing w:line="360" w:lineRule="auto"/>
        <w:jc w:val="both"/>
      </w:pPr>
      <w:r w:rsidRPr="00B63E94">
        <w:t xml:space="preserve">Both the Convention and the Recommendation note that, since the </w:t>
      </w:r>
      <w:r w:rsidR="00AE22FB" w:rsidRPr="00B63E94">
        <w:t>adoption of</w:t>
      </w:r>
      <w:r w:rsidRPr="00B63E94">
        <w:t xml:space="preserve"> Recommendation</w:t>
      </w:r>
      <w:r w:rsidR="00AE22FB" w:rsidRPr="00B63E94">
        <w:t xml:space="preserve"> No. 99 in 1955</w:t>
      </w:r>
      <w:r w:rsidRPr="00B63E94">
        <w:t xml:space="preserve">, </w:t>
      </w:r>
      <w:r w:rsidR="00E1391D" w:rsidRPr="00B63E94">
        <w:t>‘</w:t>
      </w:r>
      <w:r w:rsidRPr="00B63E94">
        <w:t>significant developments have occurred in the understanding of rehabilitation needs</w:t>
      </w:r>
      <w:r w:rsidR="00E1391D" w:rsidRPr="00B63E94">
        <w:t>’</w:t>
      </w:r>
      <w:r w:rsidRPr="00B63E94">
        <w:t>.</w:t>
      </w:r>
      <w:r w:rsidRPr="00B63E94">
        <w:rPr>
          <w:rStyle w:val="FootnoteReference"/>
        </w:rPr>
        <w:footnoteReference w:id="35"/>
      </w:r>
      <w:r w:rsidRPr="00B63E94">
        <w:t xml:space="preserve">  Convention </w:t>
      </w:r>
      <w:r w:rsidR="005A3A11" w:rsidRPr="00B63E94">
        <w:t xml:space="preserve">No. </w:t>
      </w:r>
      <w:r w:rsidRPr="00B63E94">
        <w:t xml:space="preserve">159, which is binding on </w:t>
      </w:r>
      <w:r w:rsidR="00283025" w:rsidRPr="00B63E94">
        <w:t>those</w:t>
      </w:r>
      <w:r w:rsidRPr="00B63E94">
        <w:t xml:space="preserve"> States </w:t>
      </w:r>
      <w:r w:rsidR="00283025" w:rsidRPr="00B63E94">
        <w:t>that</w:t>
      </w:r>
      <w:r w:rsidRPr="00B63E94">
        <w:t xml:space="preserve"> have ratified it, is relatively brief and does not refer to any specific employment activation strategies or </w:t>
      </w:r>
      <w:r w:rsidR="00283025" w:rsidRPr="00B63E94">
        <w:t xml:space="preserve">to </w:t>
      </w:r>
      <w:r w:rsidRPr="00B63E94">
        <w:t xml:space="preserve">sheltered employment. Instead it requires ratifying States to </w:t>
      </w:r>
      <w:r w:rsidRPr="00B63E94">
        <w:rPr>
          <w:i/>
        </w:rPr>
        <w:t>inter alia</w:t>
      </w:r>
      <w:r w:rsidRPr="00B63E94">
        <w:t xml:space="preserve"> promote employment opportunities for disabled pe</w:t>
      </w:r>
      <w:r w:rsidR="00D81116" w:rsidRPr="00B63E94">
        <w:t>rsons in the open labour market.</w:t>
      </w:r>
      <w:r w:rsidRPr="00B63E94">
        <w:rPr>
          <w:rStyle w:val="FootnoteReference"/>
        </w:rPr>
        <w:footnoteReference w:id="36"/>
      </w:r>
    </w:p>
    <w:p w14:paraId="6EBE0062" w14:textId="77777777" w:rsidR="00570BE4" w:rsidRPr="00B63E94" w:rsidRDefault="00570BE4" w:rsidP="00F22086">
      <w:pPr>
        <w:pStyle w:val="Default"/>
        <w:spacing w:line="360" w:lineRule="auto"/>
        <w:jc w:val="both"/>
      </w:pPr>
    </w:p>
    <w:p w14:paraId="0A219B47" w14:textId="26607EDF" w:rsidR="00570BE4" w:rsidRPr="00B63E94" w:rsidRDefault="00570BE4" w:rsidP="00F22086">
      <w:pPr>
        <w:pStyle w:val="Default"/>
        <w:spacing w:line="360" w:lineRule="auto"/>
        <w:jc w:val="both"/>
      </w:pPr>
      <w:r w:rsidRPr="00B63E94">
        <w:t xml:space="preserve">In contrast to the Convention, Recommendation No. 168 is </w:t>
      </w:r>
      <w:r w:rsidR="00283025" w:rsidRPr="00B63E94">
        <w:t>more</w:t>
      </w:r>
      <w:r w:rsidRPr="00B63E94">
        <w:t xml:space="preserve"> detailed as to the kind of steps States should be taking. Sheltered employment is once again seen as needed for </w:t>
      </w:r>
      <w:r w:rsidR="00E1391D" w:rsidRPr="00B63E94">
        <w:t>‘</w:t>
      </w:r>
      <w:r w:rsidRPr="00B63E94">
        <w:t>disabled persons for whom access to open employment is not practicable</w:t>
      </w:r>
      <w:r w:rsidR="00E1391D" w:rsidRPr="00B63E94">
        <w:t>’</w:t>
      </w:r>
      <w:r w:rsidRPr="00B63E94">
        <w:rPr>
          <w:rStyle w:val="FootnoteReference"/>
        </w:rPr>
        <w:footnoteReference w:id="37"/>
      </w:r>
      <w:r w:rsidRPr="00B63E94">
        <w:t xml:space="preserve">  and governments are to provide appropriate support for various types of sheltered employment.</w:t>
      </w:r>
      <w:r w:rsidRPr="00B63E94">
        <w:rPr>
          <w:rStyle w:val="FootnoteReference"/>
        </w:rPr>
        <w:footnoteReference w:id="38"/>
      </w:r>
      <w:r w:rsidRPr="00B63E94">
        <w:t xml:space="preserve"> In addition, a wide variety of measures to stimulate employment </w:t>
      </w:r>
      <w:r w:rsidR="00283025" w:rsidRPr="00B63E94">
        <w:t>in</w:t>
      </w:r>
      <w:r w:rsidRPr="00B63E94">
        <w:t xml:space="preserve"> the open labour market are recommended, including </w:t>
      </w:r>
      <w:r w:rsidR="00E1391D" w:rsidRPr="00B63E94">
        <w:t>‘</w:t>
      </w:r>
      <w:r w:rsidRPr="00B63E94">
        <w:t xml:space="preserve">financial incentives to employers to encourage them to provide training and subsequent employment for disabled persons, as well as to make reasonable adaptation to workplaces, job design, tools, machinery and work organisation to facilitate </w:t>
      </w:r>
      <w:r w:rsidRPr="00B63E94">
        <w:lastRenderedPageBreak/>
        <w:t>such training and employment</w:t>
      </w:r>
      <w:r w:rsidR="00E1391D" w:rsidRPr="00B63E94">
        <w:t>’</w:t>
      </w:r>
      <w:r w:rsidRPr="00B63E94">
        <w:rPr>
          <w:rStyle w:val="FootnoteReference"/>
        </w:rPr>
        <w:footnoteReference w:id="39"/>
      </w:r>
      <w:r w:rsidRPr="00B63E94">
        <w:t xml:space="preserve"> and </w:t>
      </w:r>
      <w:r w:rsidR="00E1391D" w:rsidRPr="00B63E94">
        <w:t>‘</w:t>
      </w:r>
      <w:r w:rsidRPr="00B63E94">
        <w:t>elimination, by stages if necessary, of physical, communication and architectural barriers and obstacles affecting transport and access to and free movement in premises for the training and employment of disabled persons</w:t>
      </w:r>
      <w:r w:rsidR="00E1391D" w:rsidRPr="00B63E94">
        <w:t>’</w:t>
      </w:r>
      <w:r w:rsidRPr="00B63E94">
        <w:t>.</w:t>
      </w:r>
      <w:r w:rsidRPr="00B63E94">
        <w:rPr>
          <w:rStyle w:val="FootnoteReference"/>
        </w:rPr>
        <w:footnoteReference w:id="40"/>
      </w:r>
      <w:r w:rsidRPr="00B63E94">
        <w:t xml:space="preserve"> The 1983 Recommendation still reveals the perceived importance of sheltered employment as an element of disability employment policy, although </w:t>
      </w:r>
      <w:r w:rsidR="00283025" w:rsidRPr="00B63E94">
        <w:t>with</w:t>
      </w:r>
      <w:r w:rsidRPr="00B63E94">
        <w:t xml:space="preserve"> a less prominent position than it had in the 1955 Recommendation. The </w:t>
      </w:r>
      <w:r w:rsidR="00283025" w:rsidRPr="00B63E94">
        <w:t>1983</w:t>
      </w:r>
      <w:r w:rsidRPr="00B63E94">
        <w:t xml:space="preserve"> Recommendation also reflects, to some degree, recognition of the socially created barriers </w:t>
      </w:r>
      <w:r w:rsidR="00283025" w:rsidRPr="00B63E94">
        <w:t>that</w:t>
      </w:r>
      <w:r w:rsidRPr="00B63E94">
        <w:t xml:space="preserve"> hinder open employment </w:t>
      </w:r>
      <w:r w:rsidR="00283025" w:rsidRPr="00B63E94">
        <w:t>for disabled people</w:t>
      </w:r>
      <w:r w:rsidRPr="00B63E94">
        <w:t xml:space="preserve">, and the need to address </w:t>
      </w:r>
      <w:r w:rsidR="00283025" w:rsidRPr="00B63E94">
        <w:t>those</w:t>
      </w:r>
      <w:r w:rsidRPr="00B63E94">
        <w:t xml:space="preserve"> barriers as part of a labour activation strategy.</w:t>
      </w:r>
    </w:p>
    <w:p w14:paraId="464EA705" w14:textId="77777777" w:rsidR="00570BE4" w:rsidRPr="00B63E94" w:rsidRDefault="00570BE4" w:rsidP="00F22086">
      <w:pPr>
        <w:pStyle w:val="Default"/>
        <w:spacing w:line="360" w:lineRule="auto"/>
        <w:jc w:val="both"/>
      </w:pPr>
    </w:p>
    <w:p w14:paraId="526A3572" w14:textId="5EF002FB" w:rsidR="00570BE4" w:rsidRPr="00B63E94" w:rsidRDefault="00570BE4" w:rsidP="00F22086">
      <w:pPr>
        <w:pStyle w:val="Default"/>
        <w:spacing w:line="360" w:lineRule="auto"/>
        <w:jc w:val="both"/>
      </w:pPr>
      <w:r w:rsidRPr="00B63E94">
        <w:t xml:space="preserve">A change in the prominence given to sheltered employment as an element of disability employment policy </w:t>
      </w:r>
      <w:r w:rsidR="00AE22FB" w:rsidRPr="00B63E94">
        <w:t>i</w:t>
      </w:r>
      <w:r w:rsidR="00283025" w:rsidRPr="00B63E94">
        <w:t>s</w:t>
      </w:r>
      <w:r w:rsidRPr="00B63E94">
        <w:t xml:space="preserve"> also reflected at the European level in the European Social Charter (ESC). The ESC is a treaty of the Council of Europe which guarantees social and economic rights. It was first adopted in 1961 and then revised in 1996</w:t>
      </w:r>
      <w:r w:rsidR="00283025" w:rsidRPr="00B63E94">
        <w:t xml:space="preserve"> (the original ESC remains in force for those States which have not ratified the latter).</w:t>
      </w:r>
      <w:r w:rsidRPr="00B63E94">
        <w:t xml:space="preserve"> Both versions of the Charter address the rights of </w:t>
      </w:r>
      <w:r w:rsidR="00283025" w:rsidRPr="00B63E94">
        <w:t>disabled people</w:t>
      </w:r>
      <w:r w:rsidRPr="00B63E94">
        <w:t xml:space="preserve"> in Article 15. The relevant article is entitled </w:t>
      </w:r>
      <w:r w:rsidR="00E1391D" w:rsidRPr="00B63E94">
        <w:t>‘</w:t>
      </w:r>
      <w:r w:rsidRPr="00B63E94">
        <w:t>The right of physically or mentally disabled persons to vocational training, rehabilitation and social settlement</w:t>
      </w:r>
      <w:r w:rsidR="00E1391D" w:rsidRPr="00B63E94">
        <w:t>’</w:t>
      </w:r>
      <w:r w:rsidRPr="00B63E94">
        <w:t xml:space="preserve"> in the original Charter </w:t>
      </w:r>
      <w:r w:rsidR="00283025" w:rsidRPr="00B63E94">
        <w:t>and</w:t>
      </w:r>
      <w:r w:rsidRPr="00B63E94">
        <w:t xml:space="preserve"> calls on the Contracting Parties to: </w:t>
      </w:r>
      <w:r w:rsidR="00E1391D" w:rsidRPr="00B63E94">
        <w:t>‘</w:t>
      </w:r>
      <w:r w:rsidRPr="00B63E94">
        <w:t>take adequate measures for the placing of disabled persons in employment, such as specialised placing services, facilities for sheltered employment and measures to encourage employers to admit disabled persons to employment</w:t>
      </w:r>
      <w:r w:rsidR="00E1391D" w:rsidRPr="00B63E94">
        <w:t>’</w:t>
      </w:r>
      <w:r w:rsidRPr="00B63E94">
        <w:t>.</w:t>
      </w:r>
      <w:r w:rsidRPr="00B63E94">
        <w:rPr>
          <w:rStyle w:val="FootnoteReference"/>
        </w:rPr>
        <w:footnoteReference w:id="41"/>
      </w:r>
      <w:r w:rsidRPr="00B63E94">
        <w:t xml:space="preserve"> Segregated measures, including sheltered employment, are therefore seen as a key element of disability employ</w:t>
      </w:r>
      <w:r w:rsidR="00283025" w:rsidRPr="00B63E94">
        <w:t>ment policy under this article.</w:t>
      </w:r>
    </w:p>
    <w:p w14:paraId="4F912CF5" w14:textId="77777777" w:rsidR="00570BE4" w:rsidRPr="00B63E94" w:rsidRDefault="00570BE4" w:rsidP="00F22086">
      <w:pPr>
        <w:pStyle w:val="Default"/>
        <w:spacing w:line="360" w:lineRule="auto"/>
        <w:jc w:val="both"/>
      </w:pPr>
    </w:p>
    <w:p w14:paraId="0F7684FB" w14:textId="77777777" w:rsidR="00570BE4" w:rsidRPr="00B63E94" w:rsidRDefault="00570BE4" w:rsidP="00F22086">
      <w:pPr>
        <w:pStyle w:val="Default"/>
        <w:spacing w:line="360" w:lineRule="auto"/>
        <w:jc w:val="both"/>
      </w:pPr>
      <w:r w:rsidRPr="00B63E94">
        <w:t xml:space="preserve">The revised ESC, of 1996, entitles Article 15 </w:t>
      </w:r>
      <w:r w:rsidR="00E1391D" w:rsidRPr="00B63E94">
        <w:t>‘</w:t>
      </w:r>
      <w:r w:rsidRPr="00B63E94">
        <w:t>The right of persons with disabilities to independence, social integration and participation in the life of the community</w:t>
      </w:r>
      <w:r w:rsidR="00E1391D" w:rsidRPr="00B63E94">
        <w:t>’</w:t>
      </w:r>
      <w:r w:rsidRPr="00B63E94">
        <w:t xml:space="preserve">. It is clear from section one of the article that measures to support persons with disabilities should be provided through </w:t>
      </w:r>
      <w:r w:rsidR="00E1391D" w:rsidRPr="00B63E94">
        <w:t>‘</w:t>
      </w:r>
      <w:r w:rsidRPr="00B63E94">
        <w:t>general schemes</w:t>
      </w:r>
      <w:r w:rsidR="00E1391D" w:rsidRPr="00B63E94">
        <w:t>’</w:t>
      </w:r>
      <w:r w:rsidRPr="00B63E94">
        <w:t xml:space="preserve"> wherever possible. Integration and participation in the mainstream, as reflected in the title of the article, </w:t>
      </w:r>
      <w:r w:rsidR="00403394" w:rsidRPr="00B63E94">
        <w:t xml:space="preserve">had become the </w:t>
      </w:r>
      <w:r w:rsidRPr="00B63E94">
        <w:t xml:space="preserve">key goal. With regard to employment, section 2 provide that the Parties are </w:t>
      </w:r>
      <w:r w:rsidR="00E1391D" w:rsidRPr="00B63E94">
        <w:t>‘</w:t>
      </w:r>
      <w:r w:rsidRPr="00B63E94">
        <w:t xml:space="preserve">to promote their access to employment through all measures tending to encourage employers to hire and keep in employment persons with disabilities in the ordinary working environment and to adjust the working conditions to the needs of the disabled or, where this is not possible by reason of disability, </w:t>
      </w:r>
      <w:r w:rsidRPr="00B63E94">
        <w:lastRenderedPageBreak/>
        <w:t>by arranging or creating sheltered employment according to the level of disability. …</w:t>
      </w:r>
      <w:r w:rsidR="00E1391D" w:rsidRPr="00B63E94">
        <w:t>’</w:t>
      </w:r>
      <w:r w:rsidRPr="00B63E94">
        <w:t xml:space="preserve">. In comparison with the original ESC, the desirability of segregated and sheltered employment services is reversed: under the 1961 ESC specialised or segregated services, including sheltered employment, </w:t>
      </w:r>
      <w:r w:rsidR="00403394" w:rsidRPr="00B63E94">
        <w:t>were</w:t>
      </w:r>
      <w:r w:rsidRPr="00B63E94">
        <w:t xml:space="preserve"> listed first in terms of the obligations on States, whilst the revised ESC only sees such measures as the exception, to be provided when open employment is not an option.</w:t>
      </w:r>
      <w:r w:rsidR="00403394" w:rsidRPr="00B63E94">
        <w:t xml:space="preserve"> This change of emphasis marks a generali</w:t>
      </w:r>
      <w:r w:rsidR="005A3A11" w:rsidRPr="00B63E94">
        <w:t>s</w:t>
      </w:r>
      <w:r w:rsidR="00403394" w:rsidRPr="00B63E94">
        <w:t>ed shift of thinking about disability and employment and the emergence of a more rights based approach in international law.</w:t>
      </w:r>
    </w:p>
    <w:p w14:paraId="50D839B8" w14:textId="77777777" w:rsidR="00FB0B0E" w:rsidRPr="00B63E94" w:rsidRDefault="00FB0B0E" w:rsidP="00F22086">
      <w:pPr>
        <w:pStyle w:val="Default"/>
        <w:spacing w:line="360" w:lineRule="auto"/>
        <w:jc w:val="both"/>
      </w:pPr>
    </w:p>
    <w:p w14:paraId="122B2BF3" w14:textId="08B8DC92" w:rsidR="00570BE4" w:rsidRPr="00B63E94" w:rsidRDefault="00403394" w:rsidP="00F22086">
      <w:pPr>
        <w:pStyle w:val="Default"/>
        <w:spacing w:line="360" w:lineRule="auto"/>
        <w:jc w:val="both"/>
        <w:rPr>
          <w:bCs/>
        </w:rPr>
      </w:pPr>
      <w:r w:rsidRPr="00B63E94">
        <w:rPr>
          <w:bCs/>
        </w:rPr>
        <w:t>The</w:t>
      </w:r>
      <w:r w:rsidR="00570BE4" w:rsidRPr="00B63E94">
        <w:rPr>
          <w:bCs/>
        </w:rPr>
        <w:t xml:space="preserve"> change in approach to sheltered employment as an element of disability employment policy is revealed</w:t>
      </w:r>
      <w:r w:rsidRPr="00B63E94">
        <w:rPr>
          <w:bCs/>
        </w:rPr>
        <w:t xml:space="preserve"> most dramatically </w:t>
      </w:r>
      <w:r w:rsidR="00570BE4" w:rsidRPr="00B63E94">
        <w:rPr>
          <w:bCs/>
        </w:rPr>
        <w:t xml:space="preserve">through a comparison of the UN Standard Rules on the Equalization of Opportunities of Persons with Disabilities, adopted by the UN General Assembly in 1993 and the UN Convention on the Rights of Persons with Disabilities (CRPD), adopted in 2006. Rule 7 of the Standard Rules specifies that </w:t>
      </w:r>
      <w:r w:rsidR="00E1391D" w:rsidRPr="00B63E94">
        <w:rPr>
          <w:bCs/>
        </w:rPr>
        <w:t>‘</w:t>
      </w:r>
      <w:r w:rsidR="00570BE4" w:rsidRPr="00B63E94">
        <w:rPr>
          <w:bCs/>
        </w:rPr>
        <w:t>States should actively support the integration of persons with disabilities into open employment</w:t>
      </w:r>
      <w:r w:rsidR="00E1391D" w:rsidRPr="00B63E94">
        <w:rPr>
          <w:bCs/>
        </w:rPr>
        <w:t>’</w:t>
      </w:r>
      <w:r w:rsidR="00570BE4" w:rsidRPr="00B63E94">
        <w:rPr>
          <w:bCs/>
        </w:rPr>
        <w:t xml:space="preserve">. The measures which States should take in this respect include </w:t>
      </w:r>
      <w:r w:rsidR="00E1391D" w:rsidRPr="00B63E94">
        <w:rPr>
          <w:bCs/>
        </w:rPr>
        <w:t>‘</w:t>
      </w:r>
      <w:r w:rsidR="00570BE4" w:rsidRPr="00B63E94">
        <w:rPr>
          <w:bCs/>
        </w:rPr>
        <w:t>vocational training, incentive-oriented quota schemes, reserved or designated employment, loans or grants for small business, exclusive contracts or priority production rights, tax concessions, contract compliance or other technical or financial assistance to enterprises employing workers with disabilities</w:t>
      </w:r>
      <w:r w:rsidR="00E1391D" w:rsidRPr="00B63E94">
        <w:rPr>
          <w:bCs/>
        </w:rPr>
        <w:t>’</w:t>
      </w:r>
      <w:r w:rsidR="00570BE4" w:rsidRPr="00B63E94">
        <w:rPr>
          <w:bCs/>
        </w:rPr>
        <w:t xml:space="preserve">. Attention should also be paid to designing and adapting workplaces so that they are accessible, providing reasonable accommodations by employers, training and placement and public awareness. The emphasis is very clearly placed on inclusion in the open labour market and addressing the wide variety of barriers which hamper this. Nevertheless, a place remains for sheltered employment: whilst </w:t>
      </w:r>
      <w:r w:rsidR="00E1391D" w:rsidRPr="00B63E94">
        <w:rPr>
          <w:bCs/>
        </w:rPr>
        <w:t>‘</w:t>
      </w:r>
      <w:r w:rsidR="00570BE4" w:rsidRPr="00B63E94">
        <w:rPr>
          <w:bCs/>
        </w:rPr>
        <w:t>the aim should always be for persons with disabilities to obtain employment in the open labour market … [f]or persons with disabilities whose needs cannot be met in open employment, small units of sheltered or supported employment may be an alternative</w:t>
      </w:r>
      <w:r w:rsidR="00E1391D" w:rsidRPr="00B63E94">
        <w:rPr>
          <w:bCs/>
        </w:rPr>
        <w:t>’</w:t>
      </w:r>
      <w:r w:rsidR="00570BE4" w:rsidRPr="00B63E94">
        <w:rPr>
          <w:bCs/>
        </w:rPr>
        <w:t xml:space="preserve">. </w:t>
      </w:r>
    </w:p>
    <w:p w14:paraId="1D41D688" w14:textId="77777777" w:rsidR="00570BE4" w:rsidRPr="00B63E94" w:rsidRDefault="00570BE4" w:rsidP="00F22086">
      <w:pPr>
        <w:pStyle w:val="Default"/>
        <w:spacing w:line="360" w:lineRule="auto"/>
        <w:jc w:val="both"/>
        <w:rPr>
          <w:bCs/>
        </w:rPr>
      </w:pPr>
    </w:p>
    <w:p w14:paraId="01CFDD4D" w14:textId="36F28AEE" w:rsidR="00570BE4" w:rsidRPr="00B63E94" w:rsidRDefault="00570BE4" w:rsidP="00F22086">
      <w:pPr>
        <w:pStyle w:val="Default"/>
        <w:spacing w:line="360" w:lineRule="auto"/>
        <w:jc w:val="both"/>
        <w:rPr>
          <w:bCs/>
        </w:rPr>
      </w:pPr>
      <w:r w:rsidRPr="00B63E94">
        <w:rPr>
          <w:bCs/>
        </w:rPr>
        <w:t>However, even this modest role for sheltered employment is not recogni</w:t>
      </w:r>
      <w:r w:rsidR="005A3A11" w:rsidRPr="00B63E94">
        <w:rPr>
          <w:bCs/>
        </w:rPr>
        <w:t>s</w:t>
      </w:r>
      <w:r w:rsidRPr="00B63E94">
        <w:rPr>
          <w:bCs/>
        </w:rPr>
        <w:t>ed in Article 27</w:t>
      </w:r>
      <w:r w:rsidR="00403394" w:rsidRPr="00B63E94">
        <w:rPr>
          <w:bCs/>
        </w:rPr>
        <w:t xml:space="preserve"> CRPD on work and employment</w:t>
      </w:r>
      <w:r w:rsidRPr="00B63E94">
        <w:rPr>
          <w:bCs/>
        </w:rPr>
        <w:t xml:space="preserve">. The emphasis throughout </w:t>
      </w:r>
      <w:r w:rsidR="00403394" w:rsidRPr="00B63E94">
        <w:rPr>
          <w:bCs/>
        </w:rPr>
        <w:t>this</w:t>
      </w:r>
      <w:r w:rsidRPr="00B63E94">
        <w:rPr>
          <w:bCs/>
        </w:rPr>
        <w:t xml:space="preserve"> article is on equality and promoting employment in the open labour market. There is no reference whatsoever to sheltered employment or </w:t>
      </w:r>
      <w:r w:rsidR="00403394" w:rsidRPr="00B63E94">
        <w:rPr>
          <w:bCs/>
        </w:rPr>
        <w:t xml:space="preserve">to </w:t>
      </w:r>
      <w:r w:rsidRPr="00B63E94">
        <w:rPr>
          <w:bCs/>
        </w:rPr>
        <w:t>any other segregated or specialised employment measure. Anna Bruce has noted with regard to this article</w:t>
      </w:r>
      <w:r w:rsidR="00403394" w:rsidRPr="00B63E94">
        <w:rPr>
          <w:bCs/>
        </w:rPr>
        <w:t xml:space="preserve"> that</w:t>
      </w:r>
      <w:r w:rsidRPr="00B63E94">
        <w:rPr>
          <w:bCs/>
        </w:rPr>
        <w:t xml:space="preserve"> </w:t>
      </w:r>
      <w:r w:rsidR="00E1391D" w:rsidRPr="00B63E94">
        <w:rPr>
          <w:bCs/>
        </w:rPr>
        <w:t>‘</w:t>
      </w:r>
      <w:r w:rsidRPr="00B63E94">
        <w:rPr>
          <w:bCs/>
        </w:rPr>
        <w:t xml:space="preserve">[t]he current largely segregated state of affairs is not mentioned and instead the goal is emphasized by calling for ‘a labour market and work </w:t>
      </w:r>
      <w:r w:rsidRPr="00B63E94">
        <w:rPr>
          <w:bCs/>
        </w:rPr>
        <w:lastRenderedPageBreak/>
        <w:t>environment that is open, inclusive and accessible to persons with disabilities’</w:t>
      </w:r>
      <w:r w:rsidR="00E1391D" w:rsidRPr="00B63E94">
        <w:rPr>
          <w:bCs/>
        </w:rPr>
        <w:t>’</w:t>
      </w:r>
      <w:r w:rsidRPr="00B63E94">
        <w:rPr>
          <w:bCs/>
        </w:rPr>
        <w:t>.</w:t>
      </w:r>
      <w:r w:rsidRPr="00B63E94">
        <w:rPr>
          <w:rStyle w:val="FootnoteReference"/>
          <w:bCs/>
        </w:rPr>
        <w:footnoteReference w:id="42"/>
      </w:r>
      <w:r w:rsidRPr="00B63E94">
        <w:rPr>
          <w:bCs/>
        </w:rPr>
        <w:t xml:space="preserve"> The decision not to refer to sheltered employment was not undisputed by the negotiating parties. Bruce argues that consensus was agreed following the inclusion of section 1(a) of the article, which provides that discrimination on the basis of disability is to be prohibited </w:t>
      </w:r>
      <w:r w:rsidR="00E1391D" w:rsidRPr="00B63E94">
        <w:rPr>
          <w:bCs/>
        </w:rPr>
        <w:t>‘</w:t>
      </w:r>
      <w:r w:rsidRPr="00B63E94">
        <w:rPr>
          <w:bCs/>
        </w:rPr>
        <w:t>with regard to all matters concerning all forms of employment</w:t>
      </w:r>
      <w:r w:rsidR="00E1391D" w:rsidRPr="00B63E94">
        <w:rPr>
          <w:bCs/>
        </w:rPr>
        <w:t>’</w:t>
      </w:r>
      <w:r w:rsidRPr="00B63E94">
        <w:rPr>
          <w:bCs/>
        </w:rPr>
        <w:t>.</w:t>
      </w:r>
      <w:r w:rsidRPr="00B63E94">
        <w:rPr>
          <w:rStyle w:val="FootnoteReference"/>
          <w:bCs/>
        </w:rPr>
        <w:footnoteReference w:id="43"/>
      </w:r>
      <w:r w:rsidRPr="00B63E94">
        <w:rPr>
          <w:bCs/>
        </w:rPr>
        <w:t xml:space="preserve"> As a result, segregated settings which quali</w:t>
      </w:r>
      <w:r w:rsidR="005A3A11" w:rsidRPr="00B63E94">
        <w:rPr>
          <w:bCs/>
        </w:rPr>
        <w:t>f</w:t>
      </w:r>
      <w:r w:rsidRPr="00B63E94">
        <w:rPr>
          <w:bCs/>
        </w:rPr>
        <w:t xml:space="preserve">y as employment must comply with the requirements of Article 27. </w:t>
      </w:r>
      <w:r w:rsidR="00403394" w:rsidRPr="00B63E94">
        <w:rPr>
          <w:bCs/>
        </w:rPr>
        <w:t>S</w:t>
      </w:r>
      <w:r w:rsidRPr="00B63E94">
        <w:rPr>
          <w:bCs/>
        </w:rPr>
        <w:t>heltered employment</w:t>
      </w:r>
      <w:r w:rsidR="00403394" w:rsidRPr="00B63E94">
        <w:rPr>
          <w:bCs/>
        </w:rPr>
        <w:t xml:space="preserve"> is not explicitly prohibited but the </w:t>
      </w:r>
      <w:r w:rsidR="00F743DA" w:rsidRPr="00B63E94">
        <w:rPr>
          <w:bCs/>
        </w:rPr>
        <w:t>a</w:t>
      </w:r>
      <w:r w:rsidR="00403394" w:rsidRPr="00B63E94">
        <w:rPr>
          <w:bCs/>
        </w:rPr>
        <w:t xml:space="preserve">rticle </w:t>
      </w:r>
      <w:r w:rsidRPr="00B63E94">
        <w:rPr>
          <w:bCs/>
        </w:rPr>
        <w:t xml:space="preserve">poses </w:t>
      </w:r>
      <w:r w:rsidR="00403394" w:rsidRPr="00B63E94">
        <w:rPr>
          <w:bCs/>
        </w:rPr>
        <w:t>real</w:t>
      </w:r>
      <w:r w:rsidRPr="00B63E94">
        <w:rPr>
          <w:bCs/>
        </w:rPr>
        <w:t xml:space="preserve"> challenges to its continuation in certain circumstances</w:t>
      </w:r>
      <w:r w:rsidR="00403394" w:rsidRPr="00B63E94">
        <w:rPr>
          <w:bCs/>
        </w:rPr>
        <w:t xml:space="preserve"> and the emphasis is firmly on equality of opportunity in the mainstream labour market.</w:t>
      </w:r>
      <w:r w:rsidRPr="00B63E94">
        <w:rPr>
          <w:bCs/>
        </w:rPr>
        <w:t xml:space="preserve"> Bruce concludes </w:t>
      </w:r>
      <w:r w:rsidR="00E1391D" w:rsidRPr="00B63E94">
        <w:rPr>
          <w:bCs/>
        </w:rPr>
        <w:t>‘</w:t>
      </w:r>
      <w:r w:rsidRPr="00B63E94">
        <w:rPr>
          <w:bCs/>
        </w:rPr>
        <w:t>through the prominence of choice and inclusion in Article 27 as well as in the remainder of the CRPD it can be concluded that segregated employment opportunities as the only alternative for an individual, particularly one who wishes otherwise, is highly questionable</w:t>
      </w:r>
      <w:r w:rsidR="00E1391D" w:rsidRPr="00B63E94">
        <w:rPr>
          <w:bCs/>
        </w:rPr>
        <w:t>’</w:t>
      </w:r>
      <w:r w:rsidRPr="00B63E94">
        <w:rPr>
          <w:bCs/>
        </w:rPr>
        <w:t>.</w:t>
      </w:r>
      <w:r w:rsidRPr="00B63E94">
        <w:rPr>
          <w:rStyle w:val="FootnoteReference"/>
          <w:bCs/>
        </w:rPr>
        <w:footnoteReference w:id="44"/>
      </w:r>
      <w:r w:rsidRPr="00B63E94">
        <w:rPr>
          <w:bCs/>
        </w:rPr>
        <w:t xml:space="preserve"> </w:t>
      </w:r>
    </w:p>
    <w:p w14:paraId="1E6987CD" w14:textId="77777777" w:rsidR="00570BE4" w:rsidRPr="00B63E94" w:rsidRDefault="00570BE4" w:rsidP="00F22086">
      <w:pPr>
        <w:pStyle w:val="Default"/>
        <w:spacing w:line="360" w:lineRule="auto"/>
        <w:jc w:val="both"/>
        <w:rPr>
          <w:bCs/>
        </w:rPr>
      </w:pPr>
    </w:p>
    <w:p w14:paraId="518B791F" w14:textId="59D46751" w:rsidR="00B47C45" w:rsidRPr="00B63E94" w:rsidRDefault="00570BE4" w:rsidP="00F22086">
      <w:pPr>
        <w:spacing w:line="360" w:lineRule="auto"/>
        <w:jc w:val="both"/>
        <w:rPr>
          <w:rFonts w:ascii="Times New Roman" w:hAnsi="Times New Roman" w:cs="Times New Roman"/>
          <w:bCs/>
          <w:sz w:val="24"/>
          <w:szCs w:val="24"/>
        </w:rPr>
      </w:pPr>
      <w:r w:rsidRPr="00B63E94">
        <w:rPr>
          <w:rFonts w:ascii="Times New Roman" w:hAnsi="Times New Roman" w:cs="Times New Roman"/>
          <w:bCs/>
          <w:sz w:val="24"/>
          <w:szCs w:val="24"/>
        </w:rPr>
        <w:t xml:space="preserve">This brief review has revealed the declining importance attached to sheltered employment as an element of disability employment policy in modern international and European human rights instruments. Instead, the focus </w:t>
      </w:r>
      <w:r w:rsidR="006D71C1" w:rsidRPr="00B63E94">
        <w:rPr>
          <w:rFonts w:ascii="Times New Roman" w:hAnsi="Times New Roman" w:cs="Times New Roman"/>
          <w:bCs/>
          <w:sz w:val="24"/>
          <w:szCs w:val="24"/>
        </w:rPr>
        <w:t>has been</w:t>
      </w:r>
      <w:r w:rsidRPr="00B63E94">
        <w:rPr>
          <w:rFonts w:ascii="Times New Roman" w:hAnsi="Times New Roman" w:cs="Times New Roman"/>
          <w:bCs/>
          <w:sz w:val="24"/>
          <w:szCs w:val="24"/>
        </w:rPr>
        <w:t xml:space="preserve"> placed </w:t>
      </w:r>
      <w:r w:rsidR="006D71C1" w:rsidRPr="00B63E94">
        <w:rPr>
          <w:rFonts w:ascii="Times New Roman" w:hAnsi="Times New Roman" w:cs="Times New Roman"/>
          <w:bCs/>
          <w:sz w:val="24"/>
          <w:szCs w:val="24"/>
        </w:rPr>
        <w:t xml:space="preserve">more and more </w:t>
      </w:r>
      <w:r w:rsidRPr="00B63E94">
        <w:rPr>
          <w:rFonts w:ascii="Times New Roman" w:hAnsi="Times New Roman" w:cs="Times New Roman"/>
          <w:bCs/>
          <w:sz w:val="24"/>
          <w:szCs w:val="24"/>
        </w:rPr>
        <w:t xml:space="preserve">on </w:t>
      </w:r>
      <w:r w:rsidR="00F44BE9" w:rsidRPr="00B63E94">
        <w:rPr>
          <w:rFonts w:ascii="Times New Roman" w:hAnsi="Times New Roman" w:cs="Times New Roman"/>
          <w:bCs/>
          <w:sz w:val="24"/>
          <w:szCs w:val="24"/>
        </w:rPr>
        <w:t>full participation</w:t>
      </w:r>
      <w:r w:rsidRPr="00B63E94">
        <w:rPr>
          <w:rFonts w:ascii="Times New Roman" w:hAnsi="Times New Roman" w:cs="Times New Roman"/>
          <w:bCs/>
          <w:sz w:val="24"/>
          <w:szCs w:val="24"/>
        </w:rPr>
        <w:t xml:space="preserve"> </w:t>
      </w:r>
      <w:r w:rsidR="00F44BE9" w:rsidRPr="00B63E94">
        <w:rPr>
          <w:rFonts w:ascii="Times New Roman" w:hAnsi="Times New Roman" w:cs="Times New Roman"/>
          <w:bCs/>
          <w:sz w:val="24"/>
          <w:szCs w:val="24"/>
        </w:rPr>
        <w:t>and equality</w:t>
      </w:r>
      <w:r w:rsidRPr="00B63E94">
        <w:rPr>
          <w:rFonts w:ascii="Times New Roman" w:hAnsi="Times New Roman" w:cs="Times New Roman"/>
          <w:bCs/>
          <w:sz w:val="24"/>
          <w:szCs w:val="24"/>
        </w:rPr>
        <w:t xml:space="preserve"> in the open labour market on an equal basis with others, and on measures which can facilitate </w:t>
      </w:r>
      <w:r w:rsidR="00F44BE9" w:rsidRPr="00B63E94">
        <w:rPr>
          <w:rFonts w:ascii="Times New Roman" w:hAnsi="Times New Roman" w:cs="Times New Roman"/>
          <w:bCs/>
          <w:sz w:val="24"/>
          <w:szCs w:val="24"/>
        </w:rPr>
        <w:t>mainstream</w:t>
      </w:r>
      <w:r w:rsidRPr="00B63E94">
        <w:rPr>
          <w:rFonts w:ascii="Times New Roman" w:hAnsi="Times New Roman" w:cs="Times New Roman"/>
          <w:bCs/>
          <w:sz w:val="24"/>
          <w:szCs w:val="24"/>
        </w:rPr>
        <w:t xml:space="preserve"> employment. Nevertheless, with the exception of the CRPD, the</w:t>
      </w:r>
      <w:r w:rsidR="00F44BE9" w:rsidRPr="00B63E94">
        <w:rPr>
          <w:rFonts w:ascii="Times New Roman" w:hAnsi="Times New Roman" w:cs="Times New Roman"/>
          <w:bCs/>
          <w:sz w:val="24"/>
          <w:szCs w:val="24"/>
        </w:rPr>
        <w:t>se</w:t>
      </w:r>
      <w:r w:rsidRPr="00B63E94">
        <w:rPr>
          <w:rFonts w:ascii="Times New Roman" w:hAnsi="Times New Roman" w:cs="Times New Roman"/>
          <w:bCs/>
          <w:sz w:val="24"/>
          <w:szCs w:val="24"/>
        </w:rPr>
        <w:t xml:space="preserve"> instruments still indicate a place for sheltered employment for individuals who are deemed to be unable to </w:t>
      </w:r>
      <w:r w:rsidR="00F44BE9" w:rsidRPr="00B63E94">
        <w:rPr>
          <w:rFonts w:ascii="Times New Roman" w:hAnsi="Times New Roman" w:cs="Times New Roman"/>
          <w:bCs/>
          <w:sz w:val="24"/>
          <w:szCs w:val="24"/>
        </w:rPr>
        <w:t>fulfil the conditions for employment opportunity</w:t>
      </w:r>
      <w:r w:rsidRPr="00B63E94">
        <w:rPr>
          <w:rFonts w:ascii="Times New Roman" w:hAnsi="Times New Roman" w:cs="Times New Roman"/>
          <w:bCs/>
          <w:sz w:val="24"/>
          <w:szCs w:val="24"/>
        </w:rPr>
        <w:t xml:space="preserve"> </w:t>
      </w:r>
      <w:r w:rsidR="00F44BE9" w:rsidRPr="00B63E94">
        <w:rPr>
          <w:rFonts w:ascii="Times New Roman" w:hAnsi="Times New Roman" w:cs="Times New Roman"/>
          <w:bCs/>
          <w:sz w:val="24"/>
          <w:szCs w:val="24"/>
        </w:rPr>
        <w:t>in</w:t>
      </w:r>
      <w:r w:rsidRPr="00B63E94">
        <w:rPr>
          <w:rFonts w:ascii="Times New Roman" w:hAnsi="Times New Roman" w:cs="Times New Roman"/>
          <w:bCs/>
          <w:sz w:val="24"/>
          <w:szCs w:val="24"/>
        </w:rPr>
        <w:t xml:space="preserve"> the open labour market. This view of the role of sheltered employment may have been thrown into doubt by the CRPD.</w:t>
      </w:r>
      <w:r w:rsidR="00F44BE9" w:rsidRPr="00B63E94">
        <w:rPr>
          <w:rFonts w:ascii="Times New Roman" w:hAnsi="Times New Roman" w:cs="Times New Roman"/>
          <w:bCs/>
          <w:sz w:val="24"/>
          <w:szCs w:val="24"/>
        </w:rPr>
        <w:t xml:space="preserve"> In order to understand the tensions between segregated and inclusive approaches it is useful to learn more about the development of disability employment policies more generally.</w:t>
      </w:r>
    </w:p>
    <w:p w14:paraId="6EB28D33" w14:textId="77777777" w:rsidR="00496641" w:rsidRPr="00B63E94" w:rsidRDefault="00496641" w:rsidP="00283D6C">
      <w:pPr>
        <w:pStyle w:val="Heading2"/>
        <w:rPr>
          <w:lang w:val="en-US" w:eastAsia="en-US"/>
        </w:rPr>
      </w:pPr>
      <w:bookmarkStart w:id="1" w:name="_Toc4215024"/>
      <w:bookmarkStart w:id="2" w:name="_Toc6033043"/>
      <w:bookmarkStart w:id="3" w:name="_Toc7839173"/>
      <w:r w:rsidRPr="00B63E94">
        <w:rPr>
          <w:lang w:val="en-US" w:eastAsia="en-US"/>
        </w:rPr>
        <w:t xml:space="preserve">Action on </w:t>
      </w:r>
      <w:r w:rsidRPr="00283D6C">
        <w:t>employment</w:t>
      </w:r>
      <w:r w:rsidRPr="00B63E94">
        <w:rPr>
          <w:lang w:val="en-US" w:eastAsia="en-US"/>
        </w:rPr>
        <w:t xml:space="preserve"> </w:t>
      </w:r>
      <w:r w:rsidRPr="00B63E94">
        <w:t>opportunities</w:t>
      </w:r>
      <w:bookmarkEnd w:id="1"/>
      <w:bookmarkEnd w:id="2"/>
      <w:bookmarkEnd w:id="3"/>
    </w:p>
    <w:p w14:paraId="52DFCFCB" w14:textId="7D51BD56" w:rsidR="00CD07F9" w:rsidRPr="00B63E94" w:rsidRDefault="007B606E"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 xml:space="preserve">The </w:t>
      </w:r>
      <w:r w:rsidR="00CD07F9" w:rsidRPr="00B63E94">
        <w:rPr>
          <w:rFonts w:ascii="Times New Roman" w:eastAsia="Times New Roman" w:hAnsi="Times New Roman" w:cs="Times New Roman"/>
          <w:sz w:val="24"/>
          <w:szCs w:val="24"/>
          <w:lang w:val="en-US" w:eastAsia="en-US"/>
        </w:rPr>
        <w:t>preceding</w:t>
      </w:r>
      <w:r w:rsidRPr="00B63E94">
        <w:rPr>
          <w:rFonts w:ascii="Times New Roman" w:eastAsia="Times New Roman" w:hAnsi="Times New Roman" w:cs="Times New Roman"/>
          <w:sz w:val="24"/>
          <w:szCs w:val="24"/>
          <w:lang w:val="en-US" w:eastAsia="en-US"/>
        </w:rPr>
        <w:t xml:space="preserve"> sections indicate the key legal developments at the international level. </w:t>
      </w:r>
      <w:r w:rsidR="00496641" w:rsidRPr="00B63E94">
        <w:rPr>
          <w:rFonts w:ascii="Times New Roman" w:eastAsia="Times New Roman" w:hAnsi="Times New Roman" w:cs="Times New Roman"/>
          <w:sz w:val="24"/>
          <w:szCs w:val="24"/>
          <w:lang w:val="en-US" w:eastAsia="en-US"/>
        </w:rPr>
        <w:t>State responses to th</w:t>
      </w:r>
      <w:r w:rsidR="005C2BE1" w:rsidRPr="00B63E94">
        <w:rPr>
          <w:rFonts w:ascii="Times New Roman" w:eastAsia="Times New Roman" w:hAnsi="Times New Roman" w:cs="Times New Roman"/>
          <w:sz w:val="24"/>
          <w:szCs w:val="24"/>
          <w:lang w:val="en-US" w:eastAsia="en-US"/>
        </w:rPr>
        <w:t>e</w:t>
      </w:r>
      <w:r w:rsidR="00496641" w:rsidRPr="00B63E94">
        <w:rPr>
          <w:rFonts w:ascii="Times New Roman" w:eastAsia="Times New Roman" w:hAnsi="Times New Roman" w:cs="Times New Roman"/>
          <w:sz w:val="24"/>
          <w:szCs w:val="24"/>
          <w:lang w:val="en-US" w:eastAsia="en-US"/>
        </w:rPr>
        <w:t xml:space="preserve"> challenge </w:t>
      </w:r>
      <w:r w:rsidR="005C2BE1" w:rsidRPr="00B63E94">
        <w:rPr>
          <w:rFonts w:ascii="Times New Roman" w:eastAsia="Times New Roman" w:hAnsi="Times New Roman" w:cs="Times New Roman"/>
          <w:sz w:val="24"/>
          <w:szCs w:val="24"/>
          <w:lang w:val="en-US" w:eastAsia="en-US"/>
        </w:rPr>
        <w:t xml:space="preserve">of achieving full participation and equality in employment by disabled people </w:t>
      </w:r>
      <w:r w:rsidR="00496641" w:rsidRPr="00B63E94">
        <w:rPr>
          <w:rFonts w:ascii="Times New Roman" w:eastAsia="Times New Roman" w:hAnsi="Times New Roman" w:cs="Times New Roman"/>
          <w:sz w:val="24"/>
          <w:szCs w:val="24"/>
          <w:lang w:val="en-US" w:eastAsia="en-US"/>
        </w:rPr>
        <w:t xml:space="preserve">have taken a number of different forms. </w:t>
      </w:r>
      <w:r w:rsidR="00BA04C3" w:rsidRPr="00B63E94">
        <w:rPr>
          <w:rFonts w:ascii="Times New Roman" w:eastAsia="Times New Roman" w:hAnsi="Times New Roman" w:cs="Times New Roman"/>
          <w:sz w:val="24"/>
          <w:szCs w:val="24"/>
          <w:lang w:val="en-US" w:eastAsia="en-US"/>
        </w:rPr>
        <w:t>The</w:t>
      </w:r>
      <w:r w:rsidR="00496641" w:rsidRPr="00B63E94">
        <w:rPr>
          <w:rFonts w:ascii="Times New Roman" w:eastAsia="Times New Roman" w:hAnsi="Times New Roman" w:cs="Times New Roman"/>
          <w:sz w:val="24"/>
          <w:szCs w:val="24"/>
          <w:lang w:val="en-US" w:eastAsia="en-US"/>
        </w:rPr>
        <w:t xml:space="preserve"> 1990s saw a rapid expansion of </w:t>
      </w:r>
      <w:r w:rsidR="00BA04C3" w:rsidRPr="00B63E94">
        <w:rPr>
          <w:rFonts w:ascii="Times New Roman" w:eastAsia="Times New Roman" w:hAnsi="Times New Roman" w:cs="Times New Roman"/>
          <w:sz w:val="24"/>
          <w:szCs w:val="24"/>
          <w:lang w:val="en-US" w:eastAsia="en-US"/>
        </w:rPr>
        <w:t>active labour market policies</w:t>
      </w:r>
      <w:r w:rsidR="00496641" w:rsidRPr="00B63E94">
        <w:rPr>
          <w:rFonts w:ascii="Times New Roman" w:eastAsia="Times New Roman" w:hAnsi="Times New Roman" w:cs="Times New Roman"/>
          <w:sz w:val="24"/>
          <w:szCs w:val="24"/>
          <w:lang w:val="en-US" w:eastAsia="en-US"/>
        </w:rPr>
        <w:t xml:space="preserve">, involving a mixture of compulsory and voluntary measures and the proliferation of schemes for </w:t>
      </w:r>
      <w:r w:rsidR="00CD07F9" w:rsidRPr="00B63E94">
        <w:rPr>
          <w:rFonts w:ascii="Times New Roman" w:eastAsia="Times New Roman" w:hAnsi="Times New Roman" w:cs="Times New Roman"/>
          <w:sz w:val="24"/>
          <w:szCs w:val="24"/>
          <w:lang w:val="en-US" w:eastAsia="en-US"/>
        </w:rPr>
        <w:t xml:space="preserve">employment </w:t>
      </w:r>
      <w:r w:rsidR="00496641" w:rsidRPr="00B63E94">
        <w:rPr>
          <w:rFonts w:ascii="Times New Roman" w:eastAsia="Times New Roman" w:hAnsi="Times New Roman" w:cs="Times New Roman"/>
          <w:sz w:val="24"/>
          <w:szCs w:val="24"/>
          <w:lang w:val="en-US" w:eastAsia="en-US"/>
        </w:rPr>
        <w:t>support and training.</w:t>
      </w:r>
      <w:r w:rsidR="00BA04C3" w:rsidRPr="00B63E94">
        <w:rPr>
          <w:rStyle w:val="FootnoteReference"/>
          <w:rFonts w:ascii="Times New Roman" w:eastAsia="Times New Roman" w:hAnsi="Times New Roman" w:cs="Times New Roman"/>
          <w:sz w:val="24"/>
          <w:szCs w:val="24"/>
          <w:lang w:val="en-US" w:eastAsia="en-US"/>
        </w:rPr>
        <w:footnoteReference w:id="45"/>
      </w:r>
      <w:r w:rsidR="00496641" w:rsidRPr="00B63E94">
        <w:rPr>
          <w:rFonts w:ascii="Times New Roman" w:eastAsia="Times New Roman" w:hAnsi="Times New Roman" w:cs="Times New Roman"/>
          <w:sz w:val="24"/>
          <w:szCs w:val="24"/>
          <w:lang w:val="en-US" w:eastAsia="en-US"/>
        </w:rPr>
        <w:t xml:space="preserve"> Such </w:t>
      </w:r>
      <w:r w:rsidR="007A0EA9" w:rsidRPr="00B63E94">
        <w:rPr>
          <w:rFonts w:ascii="Times New Roman" w:eastAsia="Times New Roman" w:hAnsi="Times New Roman" w:cs="Times New Roman"/>
          <w:sz w:val="24"/>
          <w:szCs w:val="24"/>
          <w:lang w:val="en-US" w:eastAsia="en-US"/>
        </w:rPr>
        <w:t>initiatives</w:t>
      </w:r>
      <w:r w:rsidR="00496641" w:rsidRPr="00B63E94">
        <w:rPr>
          <w:rFonts w:ascii="Times New Roman" w:eastAsia="Times New Roman" w:hAnsi="Times New Roman" w:cs="Times New Roman"/>
          <w:sz w:val="24"/>
          <w:szCs w:val="24"/>
          <w:lang w:val="en-US" w:eastAsia="en-US"/>
        </w:rPr>
        <w:t xml:space="preserve"> </w:t>
      </w:r>
      <w:r w:rsidR="00496641" w:rsidRPr="00B63E94">
        <w:rPr>
          <w:rFonts w:ascii="Times New Roman" w:eastAsia="Times New Roman" w:hAnsi="Times New Roman" w:cs="Times New Roman"/>
          <w:sz w:val="24"/>
          <w:szCs w:val="24"/>
          <w:lang w:val="en-US" w:eastAsia="en-US"/>
        </w:rPr>
        <w:lastRenderedPageBreak/>
        <w:t>emphasi</w:t>
      </w:r>
      <w:r w:rsidR="00B63E94" w:rsidRPr="00B63E94">
        <w:rPr>
          <w:rFonts w:ascii="Times New Roman" w:eastAsia="Times New Roman" w:hAnsi="Times New Roman" w:cs="Times New Roman"/>
          <w:sz w:val="24"/>
          <w:szCs w:val="24"/>
          <w:lang w:val="en-US" w:eastAsia="en-US"/>
        </w:rPr>
        <w:t>z</w:t>
      </w:r>
      <w:r w:rsidR="00496641" w:rsidRPr="00B63E94">
        <w:rPr>
          <w:rFonts w:ascii="Times New Roman" w:eastAsia="Times New Roman" w:hAnsi="Times New Roman" w:cs="Times New Roman"/>
          <w:sz w:val="24"/>
          <w:szCs w:val="24"/>
          <w:lang w:val="en-US" w:eastAsia="en-US"/>
        </w:rPr>
        <w:t xml:space="preserve">ed </w:t>
      </w:r>
      <w:r w:rsidRPr="00B63E94">
        <w:rPr>
          <w:rFonts w:ascii="Times New Roman" w:eastAsia="Times New Roman" w:hAnsi="Times New Roman" w:cs="Times New Roman"/>
          <w:sz w:val="24"/>
          <w:szCs w:val="24"/>
          <w:lang w:val="en-US" w:eastAsia="en-US"/>
        </w:rPr>
        <w:t xml:space="preserve">the need for </w:t>
      </w:r>
      <w:r w:rsidR="00496641" w:rsidRPr="00B63E94">
        <w:rPr>
          <w:rFonts w:ascii="Times New Roman" w:eastAsia="Times New Roman" w:hAnsi="Times New Roman" w:cs="Times New Roman"/>
          <w:sz w:val="24"/>
          <w:szCs w:val="24"/>
          <w:lang w:val="en-US" w:eastAsia="en-US"/>
        </w:rPr>
        <w:t xml:space="preserve">increased flexibility in responding to </w:t>
      </w:r>
      <w:r w:rsidR="005C2BE1" w:rsidRPr="00B63E94">
        <w:rPr>
          <w:rFonts w:ascii="Times New Roman" w:eastAsia="Times New Roman" w:hAnsi="Times New Roman" w:cs="Times New Roman"/>
          <w:sz w:val="24"/>
          <w:szCs w:val="24"/>
          <w:lang w:val="en-US" w:eastAsia="en-US"/>
        </w:rPr>
        <w:t xml:space="preserve">the </w:t>
      </w:r>
      <w:r w:rsidR="00496641" w:rsidRPr="00B63E94">
        <w:rPr>
          <w:rFonts w:ascii="Times New Roman" w:eastAsia="Times New Roman" w:hAnsi="Times New Roman" w:cs="Times New Roman"/>
          <w:sz w:val="24"/>
          <w:szCs w:val="24"/>
          <w:lang w:val="en-US" w:eastAsia="en-US"/>
        </w:rPr>
        <w:t>employment needs</w:t>
      </w:r>
      <w:r w:rsidR="005C2BE1" w:rsidRPr="00B63E94">
        <w:rPr>
          <w:rFonts w:ascii="Times New Roman" w:eastAsia="Times New Roman" w:hAnsi="Times New Roman" w:cs="Times New Roman"/>
          <w:sz w:val="24"/>
          <w:szCs w:val="24"/>
          <w:lang w:val="en-US" w:eastAsia="en-US"/>
        </w:rPr>
        <w:t xml:space="preserve"> of disabled people</w:t>
      </w:r>
      <w:r w:rsidR="00496641" w:rsidRPr="00B63E94">
        <w:rPr>
          <w:rFonts w:ascii="Times New Roman" w:eastAsia="Times New Roman" w:hAnsi="Times New Roman" w:cs="Times New Roman"/>
          <w:sz w:val="24"/>
          <w:szCs w:val="24"/>
          <w:lang w:val="en-US" w:eastAsia="en-US"/>
        </w:rPr>
        <w:t xml:space="preserve">, and the economic benefits of bringing </w:t>
      </w:r>
      <w:r w:rsidR="007A0EA9" w:rsidRPr="00B63E94">
        <w:rPr>
          <w:rFonts w:ascii="Times New Roman" w:eastAsia="Times New Roman" w:hAnsi="Times New Roman" w:cs="Times New Roman"/>
          <w:sz w:val="24"/>
          <w:szCs w:val="24"/>
          <w:lang w:val="en-US" w:eastAsia="en-US"/>
        </w:rPr>
        <w:t>them</w:t>
      </w:r>
      <w:r w:rsidR="00496641" w:rsidRPr="00B63E94">
        <w:rPr>
          <w:rFonts w:ascii="Times New Roman" w:eastAsia="Times New Roman" w:hAnsi="Times New Roman" w:cs="Times New Roman"/>
          <w:sz w:val="24"/>
          <w:szCs w:val="24"/>
          <w:lang w:val="en-US" w:eastAsia="en-US"/>
        </w:rPr>
        <w:t xml:space="preserve"> into paid work.</w:t>
      </w:r>
      <w:r w:rsidR="00C715E9" w:rsidRPr="00B63E94">
        <w:rPr>
          <w:rStyle w:val="FootnoteReference"/>
          <w:rFonts w:ascii="Times New Roman" w:eastAsia="Times New Roman" w:hAnsi="Times New Roman" w:cs="Times New Roman"/>
          <w:sz w:val="24"/>
          <w:szCs w:val="24"/>
          <w:lang w:val="en-US" w:eastAsia="en-US"/>
        </w:rPr>
        <w:footnoteReference w:id="46"/>
      </w:r>
      <w:r w:rsidR="00496641" w:rsidRPr="00B63E94">
        <w:rPr>
          <w:rFonts w:ascii="Times New Roman" w:eastAsia="Times New Roman" w:hAnsi="Times New Roman" w:cs="Times New Roman"/>
          <w:sz w:val="24"/>
          <w:szCs w:val="24"/>
          <w:lang w:val="en-US" w:eastAsia="en-US"/>
        </w:rPr>
        <w:t xml:space="preserve"> </w:t>
      </w:r>
      <w:r w:rsidR="00CD07F9" w:rsidRPr="00B63E94">
        <w:rPr>
          <w:rFonts w:ascii="Times New Roman" w:eastAsia="Times New Roman" w:hAnsi="Times New Roman" w:cs="Times New Roman"/>
          <w:sz w:val="24"/>
          <w:szCs w:val="24"/>
          <w:lang w:val="en-US" w:eastAsia="en-US"/>
        </w:rPr>
        <w:t xml:space="preserve">A </w:t>
      </w:r>
      <w:r w:rsidR="00496641" w:rsidRPr="00B63E94">
        <w:rPr>
          <w:rFonts w:ascii="Times New Roman" w:eastAsia="Times New Roman" w:hAnsi="Times New Roman" w:cs="Times New Roman"/>
          <w:sz w:val="24"/>
          <w:szCs w:val="24"/>
          <w:lang w:val="en-US" w:eastAsia="en-US"/>
        </w:rPr>
        <w:t xml:space="preserve">number </w:t>
      </w:r>
      <w:bookmarkStart w:id="4" w:name="_VV305"/>
      <w:r w:rsidR="00496641" w:rsidRPr="00B63E94">
        <w:rPr>
          <w:rFonts w:ascii="Times New Roman" w:eastAsia="Times New Roman" w:hAnsi="Times New Roman" w:cs="Times New Roman"/>
          <w:sz w:val="24"/>
          <w:szCs w:val="24"/>
          <w:lang w:val="en-US" w:eastAsia="en-US"/>
        </w:rPr>
        <w:t>of</w:t>
      </w:r>
      <w:bookmarkEnd w:id="4"/>
      <w:r w:rsidR="00496641" w:rsidRPr="00B63E94">
        <w:rPr>
          <w:rFonts w:ascii="Times New Roman" w:eastAsia="Times New Roman" w:hAnsi="Times New Roman" w:cs="Times New Roman"/>
          <w:sz w:val="24"/>
          <w:szCs w:val="24"/>
          <w:lang w:val="en-US" w:eastAsia="en-US"/>
        </w:rPr>
        <w:t xml:space="preserve"> </w:t>
      </w:r>
      <w:r w:rsidR="00CD07F9" w:rsidRPr="00B63E94">
        <w:rPr>
          <w:rFonts w:ascii="Times New Roman" w:eastAsia="Times New Roman" w:hAnsi="Times New Roman" w:cs="Times New Roman"/>
          <w:sz w:val="24"/>
          <w:szCs w:val="24"/>
          <w:lang w:val="en-US" w:eastAsia="en-US"/>
        </w:rPr>
        <w:t>comparative</w:t>
      </w:r>
      <w:r w:rsidR="00496641" w:rsidRPr="00B63E94">
        <w:rPr>
          <w:rFonts w:ascii="Times New Roman" w:eastAsia="Times New Roman" w:hAnsi="Times New Roman" w:cs="Times New Roman"/>
          <w:sz w:val="24"/>
          <w:szCs w:val="24"/>
          <w:lang w:val="en-US" w:eastAsia="en-US"/>
        </w:rPr>
        <w:t xml:space="preserve"> studies </w:t>
      </w:r>
      <w:r w:rsidR="005C2BE1" w:rsidRPr="00B63E94">
        <w:rPr>
          <w:rFonts w:ascii="Times New Roman" w:eastAsia="Times New Roman" w:hAnsi="Times New Roman" w:cs="Times New Roman"/>
          <w:sz w:val="24"/>
          <w:szCs w:val="24"/>
          <w:lang w:val="en-US" w:eastAsia="en-US"/>
        </w:rPr>
        <w:t>on</w:t>
      </w:r>
      <w:r w:rsidR="00496641" w:rsidRPr="00B63E94">
        <w:rPr>
          <w:rFonts w:ascii="Times New Roman" w:eastAsia="Times New Roman" w:hAnsi="Times New Roman" w:cs="Times New Roman"/>
          <w:sz w:val="24"/>
          <w:szCs w:val="24"/>
          <w:lang w:val="en-US" w:eastAsia="en-US"/>
        </w:rPr>
        <w:t xml:space="preserve"> policies </w:t>
      </w:r>
      <w:r w:rsidR="00CD07F9" w:rsidRPr="00B63E94">
        <w:rPr>
          <w:rFonts w:ascii="Times New Roman" w:eastAsia="Times New Roman" w:hAnsi="Times New Roman" w:cs="Times New Roman"/>
          <w:sz w:val="24"/>
          <w:szCs w:val="24"/>
          <w:lang w:val="en-US" w:eastAsia="en-US"/>
        </w:rPr>
        <w:t>to support and retain</w:t>
      </w:r>
      <w:r w:rsidR="00496641" w:rsidRPr="00B63E94">
        <w:rPr>
          <w:rFonts w:ascii="Times New Roman" w:eastAsia="Times New Roman" w:hAnsi="Times New Roman" w:cs="Times New Roman"/>
          <w:sz w:val="24"/>
          <w:szCs w:val="24"/>
          <w:lang w:val="en-US" w:eastAsia="en-US"/>
        </w:rPr>
        <w:t xml:space="preserve"> disabled people in employment</w:t>
      </w:r>
      <w:bookmarkStart w:id="5" w:name="_VV318M"/>
      <w:r w:rsidR="00CD07F9" w:rsidRPr="00B63E94">
        <w:rPr>
          <w:rFonts w:ascii="Times New Roman" w:eastAsia="Times New Roman" w:hAnsi="Times New Roman" w:cs="Times New Roman"/>
          <w:sz w:val="24"/>
          <w:szCs w:val="24"/>
          <w:lang w:val="en-US" w:eastAsia="en-US"/>
        </w:rPr>
        <w:t xml:space="preserve"> chart developments during this period – following the</w:t>
      </w:r>
      <w:r w:rsidR="005C2BE1" w:rsidRPr="00B63E94">
        <w:rPr>
          <w:rFonts w:ascii="Times New Roman" w:eastAsia="Times New Roman" w:hAnsi="Times New Roman" w:cs="Times New Roman"/>
          <w:sz w:val="24"/>
          <w:szCs w:val="24"/>
          <w:lang w:val="en-US" w:eastAsia="en-US"/>
        </w:rPr>
        <w:t xml:space="preserve"> adoption of </w:t>
      </w:r>
      <w:r w:rsidR="00CD07F9" w:rsidRPr="00B63E94">
        <w:rPr>
          <w:rFonts w:ascii="Times New Roman" w:eastAsia="Times New Roman" w:hAnsi="Times New Roman" w:cs="Times New Roman"/>
          <w:sz w:val="24"/>
          <w:szCs w:val="24"/>
          <w:lang w:val="en-US" w:eastAsia="en-US"/>
        </w:rPr>
        <w:t xml:space="preserve"> ILO  Convention </w:t>
      </w:r>
      <w:r w:rsidR="005C2BE1" w:rsidRPr="00B63E94">
        <w:rPr>
          <w:rFonts w:ascii="Times New Roman" w:eastAsia="Times New Roman" w:hAnsi="Times New Roman" w:cs="Times New Roman"/>
          <w:sz w:val="24"/>
          <w:szCs w:val="24"/>
          <w:lang w:val="en-US" w:eastAsia="en-US"/>
        </w:rPr>
        <w:t xml:space="preserve">No. 159 </w:t>
      </w:r>
      <w:r w:rsidR="00CD07F9" w:rsidRPr="00B63E94">
        <w:rPr>
          <w:rFonts w:ascii="Times New Roman" w:eastAsia="Times New Roman" w:hAnsi="Times New Roman" w:cs="Times New Roman"/>
          <w:sz w:val="24"/>
          <w:szCs w:val="24"/>
          <w:lang w:val="en-US" w:eastAsia="en-US"/>
        </w:rPr>
        <w:t xml:space="preserve">but prior to </w:t>
      </w:r>
      <w:r w:rsidR="007A0EA9" w:rsidRPr="00B63E94">
        <w:rPr>
          <w:rFonts w:ascii="Times New Roman" w:eastAsia="Times New Roman" w:hAnsi="Times New Roman" w:cs="Times New Roman"/>
          <w:sz w:val="24"/>
          <w:szCs w:val="24"/>
          <w:lang w:val="en-US" w:eastAsia="en-US"/>
        </w:rPr>
        <w:t xml:space="preserve">adoption </w:t>
      </w:r>
      <w:r w:rsidR="00CD07F9" w:rsidRPr="00B63E94">
        <w:rPr>
          <w:rFonts w:ascii="Times New Roman" w:eastAsia="Times New Roman" w:hAnsi="Times New Roman" w:cs="Times New Roman"/>
          <w:sz w:val="24"/>
          <w:szCs w:val="24"/>
          <w:lang w:val="en-US" w:eastAsia="en-US"/>
        </w:rPr>
        <w:t>of the UN CRPD</w:t>
      </w:r>
      <w:r w:rsidR="00496641" w:rsidRPr="00B63E94">
        <w:rPr>
          <w:rFonts w:ascii="Times New Roman" w:eastAsia="Times New Roman" w:hAnsi="Times New Roman" w:cs="Times New Roman"/>
          <w:sz w:val="24"/>
          <w:szCs w:val="24"/>
          <w:lang w:val="en-US" w:eastAsia="en-US"/>
        </w:rPr>
        <w:t>.</w:t>
      </w:r>
      <w:bookmarkEnd w:id="5"/>
      <w:r w:rsidR="00496641" w:rsidRPr="00B63E94">
        <w:rPr>
          <w:rFonts w:ascii="Times New Roman" w:eastAsia="Times New Roman" w:hAnsi="Times New Roman" w:cs="Times New Roman"/>
          <w:sz w:val="24"/>
          <w:szCs w:val="24"/>
          <w:lang w:val="en-US" w:eastAsia="en-US"/>
        </w:rPr>
        <w:t xml:space="preserve"> </w:t>
      </w:r>
    </w:p>
    <w:p w14:paraId="6F3378BB" w14:textId="43D97B36" w:rsidR="0036373A" w:rsidRPr="00B63E94" w:rsidRDefault="00496641"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 xml:space="preserve">For example, </w:t>
      </w:r>
      <w:r w:rsidR="00C715E9" w:rsidRPr="00B63E94">
        <w:rPr>
          <w:rFonts w:ascii="Times New Roman" w:eastAsia="Times New Roman" w:hAnsi="Times New Roman" w:cs="Times New Roman"/>
          <w:sz w:val="24"/>
          <w:szCs w:val="24"/>
          <w:lang w:val="en-US" w:eastAsia="en-US"/>
        </w:rPr>
        <w:t xml:space="preserve">in 1997 </w:t>
      </w:r>
      <w:r w:rsidRPr="00B63E94">
        <w:rPr>
          <w:rFonts w:ascii="Times New Roman" w:eastAsia="Times New Roman" w:hAnsi="Times New Roman" w:cs="Times New Roman"/>
          <w:sz w:val="24"/>
          <w:szCs w:val="24"/>
          <w:lang w:val="en-US" w:eastAsia="en-US"/>
        </w:rPr>
        <w:t xml:space="preserve">Thornton and Lunt </w:t>
      </w:r>
      <w:r w:rsidR="00C715E9" w:rsidRPr="00B63E94">
        <w:rPr>
          <w:rFonts w:ascii="Times New Roman" w:eastAsia="Times New Roman" w:hAnsi="Times New Roman" w:cs="Times New Roman"/>
          <w:sz w:val="24"/>
          <w:szCs w:val="24"/>
          <w:lang w:val="en-US" w:eastAsia="en-US"/>
        </w:rPr>
        <w:t>reviewed</w:t>
      </w:r>
      <w:r w:rsidRPr="00B63E94">
        <w:rPr>
          <w:rFonts w:ascii="Times New Roman" w:eastAsia="Times New Roman" w:hAnsi="Times New Roman" w:cs="Times New Roman"/>
          <w:sz w:val="24"/>
          <w:szCs w:val="24"/>
          <w:lang w:val="en-US" w:eastAsia="en-US"/>
        </w:rPr>
        <w:t xml:space="preserve"> disability employment policies in 18 countries, building on earlier work in Europe, North American and Australia.</w:t>
      </w:r>
      <w:r w:rsidR="00C715E9" w:rsidRPr="00B63E94">
        <w:rPr>
          <w:rStyle w:val="FootnoteReference"/>
          <w:rFonts w:ascii="Times New Roman" w:eastAsia="Times New Roman" w:hAnsi="Times New Roman" w:cs="Times New Roman"/>
          <w:sz w:val="24"/>
          <w:szCs w:val="24"/>
          <w:lang w:val="en-US" w:eastAsia="en-US"/>
        </w:rPr>
        <w:footnoteReference w:id="47"/>
      </w:r>
      <w:r w:rsidRPr="00B63E94">
        <w:rPr>
          <w:rFonts w:ascii="Times New Roman" w:eastAsia="Times New Roman" w:hAnsi="Times New Roman" w:cs="Times New Roman"/>
          <w:sz w:val="24"/>
          <w:szCs w:val="24"/>
          <w:lang w:val="en-US" w:eastAsia="en-US"/>
        </w:rPr>
        <w:t xml:space="preserve"> Their </w:t>
      </w:r>
      <w:r w:rsidR="00C715E9" w:rsidRPr="00B63E94">
        <w:rPr>
          <w:rFonts w:ascii="Times New Roman" w:eastAsia="Times New Roman" w:hAnsi="Times New Roman" w:cs="Times New Roman"/>
          <w:sz w:val="24"/>
          <w:szCs w:val="24"/>
          <w:lang w:val="en-US" w:eastAsia="en-US"/>
        </w:rPr>
        <w:t>study</w:t>
      </w:r>
      <w:r w:rsidRPr="00B63E94">
        <w:rPr>
          <w:rFonts w:ascii="Times New Roman" w:eastAsia="Times New Roman" w:hAnsi="Times New Roman" w:cs="Times New Roman"/>
          <w:sz w:val="24"/>
          <w:szCs w:val="24"/>
          <w:lang w:val="en-US" w:eastAsia="en-US"/>
        </w:rPr>
        <w:t xml:space="preserve"> suggested an apparently universal commitment to the aims of participation and equality. It also indicated that legislati</w:t>
      </w:r>
      <w:r w:rsidR="005C2BE1" w:rsidRPr="00B63E94">
        <w:rPr>
          <w:rFonts w:ascii="Times New Roman" w:eastAsia="Times New Roman" w:hAnsi="Times New Roman" w:cs="Times New Roman"/>
          <w:sz w:val="24"/>
          <w:szCs w:val="24"/>
          <w:lang w:val="en-US" w:eastAsia="en-US"/>
        </w:rPr>
        <w:t>on which sought to support these goals was</w:t>
      </w:r>
      <w:r w:rsidRPr="00B63E94">
        <w:rPr>
          <w:rFonts w:ascii="Times New Roman" w:eastAsia="Times New Roman" w:hAnsi="Times New Roman" w:cs="Times New Roman"/>
          <w:sz w:val="24"/>
          <w:szCs w:val="24"/>
          <w:lang w:val="en-US" w:eastAsia="en-US"/>
        </w:rPr>
        <w:t xml:space="preserve"> becoming more </w:t>
      </w:r>
      <w:r w:rsidR="005C2BE1" w:rsidRPr="00B63E94">
        <w:rPr>
          <w:rFonts w:ascii="Times New Roman" w:eastAsia="Times New Roman" w:hAnsi="Times New Roman" w:cs="Times New Roman"/>
          <w:sz w:val="24"/>
          <w:szCs w:val="24"/>
          <w:lang w:val="en-US" w:eastAsia="en-US"/>
        </w:rPr>
        <w:t>common</w:t>
      </w:r>
      <w:r w:rsidRPr="00B63E94">
        <w:rPr>
          <w:rFonts w:ascii="Times New Roman" w:eastAsia="Times New Roman" w:hAnsi="Times New Roman" w:cs="Times New Roman"/>
          <w:sz w:val="24"/>
          <w:szCs w:val="24"/>
          <w:lang w:val="en-US" w:eastAsia="en-US"/>
        </w:rPr>
        <w:t>.</w:t>
      </w:r>
      <w:r w:rsidR="00CD07F9"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In reviewing the </w:t>
      </w:r>
      <w:r w:rsidR="00513657" w:rsidRPr="00B63E94">
        <w:rPr>
          <w:rFonts w:ascii="Times New Roman" w:eastAsia="Times New Roman" w:hAnsi="Times New Roman" w:cs="Times New Roman"/>
          <w:sz w:val="24"/>
          <w:szCs w:val="24"/>
          <w:lang w:val="en-US" w:eastAsia="en-US"/>
        </w:rPr>
        <w:t>legislation</w:t>
      </w:r>
      <w:r w:rsidRPr="00B63E94">
        <w:rPr>
          <w:rFonts w:ascii="Times New Roman" w:eastAsia="Times New Roman" w:hAnsi="Times New Roman" w:cs="Times New Roman"/>
          <w:sz w:val="24"/>
          <w:szCs w:val="24"/>
          <w:lang w:val="en-US" w:eastAsia="en-US"/>
        </w:rPr>
        <w:t>, they identif</w:t>
      </w:r>
      <w:r w:rsidR="00F743DA" w:rsidRPr="00B63E94">
        <w:rPr>
          <w:rFonts w:ascii="Times New Roman" w:eastAsia="Times New Roman" w:hAnsi="Times New Roman" w:cs="Times New Roman"/>
          <w:sz w:val="24"/>
          <w:szCs w:val="24"/>
          <w:lang w:val="en-US" w:eastAsia="en-US"/>
        </w:rPr>
        <w:t>ied</w:t>
      </w:r>
      <w:r w:rsidRPr="00B63E94">
        <w:rPr>
          <w:rFonts w:ascii="Times New Roman" w:eastAsia="Times New Roman" w:hAnsi="Times New Roman" w:cs="Times New Roman"/>
          <w:sz w:val="24"/>
          <w:szCs w:val="24"/>
          <w:lang w:val="en-US" w:eastAsia="en-US"/>
        </w:rPr>
        <w:t xml:space="preserve"> two broad trends</w:t>
      </w:r>
      <w:r w:rsidR="00CD07F9" w:rsidRPr="00B63E94">
        <w:rPr>
          <w:rFonts w:ascii="Times New Roman" w:eastAsia="Times New Roman" w:hAnsi="Times New Roman" w:cs="Times New Roman"/>
          <w:sz w:val="24"/>
          <w:szCs w:val="24"/>
          <w:lang w:val="en-US" w:eastAsia="en-US"/>
        </w:rPr>
        <w:t xml:space="preserve">. First, they identified </w:t>
      </w:r>
      <w:r w:rsidRPr="00B63E94">
        <w:rPr>
          <w:rFonts w:ascii="Times New Roman" w:eastAsia="Times New Roman" w:hAnsi="Times New Roman" w:cs="Times New Roman"/>
          <w:sz w:val="24"/>
          <w:szCs w:val="24"/>
          <w:lang w:val="en-US" w:eastAsia="en-US"/>
        </w:rPr>
        <w:t>a</w:t>
      </w:r>
      <w:r w:rsidR="007A0EA9" w:rsidRPr="00B63E94">
        <w:rPr>
          <w:rFonts w:ascii="Times New Roman" w:eastAsia="Times New Roman" w:hAnsi="Times New Roman" w:cs="Times New Roman"/>
          <w:sz w:val="24"/>
          <w:szCs w:val="24"/>
          <w:lang w:val="en-US" w:eastAsia="en-US"/>
        </w:rPr>
        <w:t xml:space="preserve"> general policy</w:t>
      </w:r>
      <w:r w:rsidRPr="00B63E94">
        <w:rPr>
          <w:rFonts w:ascii="Times New Roman" w:eastAsia="Times New Roman" w:hAnsi="Times New Roman" w:cs="Times New Roman"/>
          <w:sz w:val="24"/>
          <w:szCs w:val="24"/>
          <w:lang w:val="en-US" w:eastAsia="en-US"/>
        </w:rPr>
        <w:t xml:space="preserve"> approach based on </w:t>
      </w:r>
      <w:r w:rsidR="00CD07F9" w:rsidRPr="00B63E94">
        <w:rPr>
          <w:rFonts w:ascii="Times New Roman" w:eastAsia="Times New Roman" w:hAnsi="Times New Roman" w:cs="Times New Roman"/>
          <w:sz w:val="24"/>
          <w:szCs w:val="24"/>
          <w:lang w:val="en-US" w:eastAsia="en-US"/>
        </w:rPr>
        <w:t xml:space="preserve">broad </w:t>
      </w:r>
      <w:r w:rsidRPr="00B63E94">
        <w:rPr>
          <w:rFonts w:ascii="Times New Roman" w:eastAsia="Times New Roman" w:hAnsi="Times New Roman" w:cs="Times New Roman"/>
          <w:sz w:val="24"/>
          <w:szCs w:val="24"/>
          <w:lang w:val="en-US" w:eastAsia="en-US"/>
        </w:rPr>
        <w:t xml:space="preserve">anti-discriminatory legislation, in which employment </w:t>
      </w:r>
      <w:r w:rsidR="00CD07F9" w:rsidRPr="00B63E94">
        <w:rPr>
          <w:rFonts w:ascii="Times New Roman" w:eastAsia="Times New Roman" w:hAnsi="Times New Roman" w:cs="Times New Roman"/>
          <w:sz w:val="24"/>
          <w:szCs w:val="24"/>
          <w:lang w:val="en-US" w:eastAsia="en-US"/>
        </w:rPr>
        <w:t>appears</w:t>
      </w:r>
      <w:r w:rsidRPr="00B63E94">
        <w:rPr>
          <w:rFonts w:ascii="Times New Roman" w:eastAsia="Times New Roman" w:hAnsi="Times New Roman" w:cs="Times New Roman"/>
          <w:sz w:val="24"/>
          <w:szCs w:val="24"/>
          <w:lang w:val="en-US" w:eastAsia="en-US"/>
        </w:rPr>
        <w:t xml:space="preserve"> amongst several </w:t>
      </w:r>
      <w:r w:rsidR="00F743DA" w:rsidRPr="00B63E94">
        <w:rPr>
          <w:rFonts w:ascii="Times New Roman" w:eastAsia="Times New Roman" w:hAnsi="Times New Roman" w:cs="Times New Roman"/>
          <w:sz w:val="24"/>
          <w:szCs w:val="24"/>
          <w:lang w:val="en-US" w:eastAsia="en-US"/>
        </w:rPr>
        <w:t>fields addressed</w:t>
      </w:r>
      <w:r w:rsidRPr="00B63E94">
        <w:rPr>
          <w:rFonts w:ascii="Times New Roman" w:eastAsia="Times New Roman" w:hAnsi="Times New Roman" w:cs="Times New Roman"/>
          <w:sz w:val="24"/>
          <w:szCs w:val="24"/>
          <w:lang w:val="en-US" w:eastAsia="en-US"/>
        </w:rPr>
        <w:t xml:space="preserve"> </w:t>
      </w:r>
      <w:r w:rsidR="009E5287" w:rsidRPr="00B63E94">
        <w:rPr>
          <w:rFonts w:ascii="Times New Roman" w:eastAsia="Times New Roman" w:hAnsi="Times New Roman" w:cs="Times New Roman"/>
          <w:sz w:val="24"/>
          <w:szCs w:val="24"/>
          <w:lang w:val="en-US" w:eastAsia="en-US"/>
        </w:rPr>
        <w:t>with</w:t>
      </w:r>
      <w:r w:rsidR="00CD07F9" w:rsidRPr="00B63E94">
        <w:rPr>
          <w:rFonts w:ascii="Times New Roman" w:eastAsia="Times New Roman" w:hAnsi="Times New Roman" w:cs="Times New Roman"/>
          <w:sz w:val="24"/>
          <w:szCs w:val="24"/>
          <w:lang w:val="en-US" w:eastAsia="en-US"/>
        </w:rPr>
        <w:t xml:space="preserve">in a common legislative framework </w:t>
      </w:r>
      <w:r w:rsidRPr="00B63E94">
        <w:rPr>
          <w:rFonts w:ascii="Times New Roman" w:eastAsia="Times New Roman" w:hAnsi="Times New Roman" w:cs="Times New Roman"/>
          <w:sz w:val="24"/>
          <w:szCs w:val="24"/>
          <w:lang w:val="en-US" w:eastAsia="en-US"/>
        </w:rPr>
        <w:t>(</w:t>
      </w:r>
      <w:r w:rsidR="00CD07F9" w:rsidRPr="00B63E94">
        <w:rPr>
          <w:rFonts w:ascii="Times New Roman" w:eastAsia="Times New Roman" w:hAnsi="Times New Roman" w:cs="Times New Roman"/>
          <w:sz w:val="24"/>
          <w:szCs w:val="24"/>
          <w:lang w:val="en-US" w:eastAsia="en-US"/>
        </w:rPr>
        <w:t xml:space="preserve">although </w:t>
      </w:r>
      <w:r w:rsidRPr="00B63E94">
        <w:rPr>
          <w:rFonts w:ascii="Times New Roman" w:eastAsia="Times New Roman" w:hAnsi="Times New Roman" w:cs="Times New Roman"/>
          <w:sz w:val="24"/>
          <w:szCs w:val="24"/>
          <w:lang w:val="en-US" w:eastAsia="en-US"/>
        </w:rPr>
        <w:t>often</w:t>
      </w:r>
      <w:r w:rsidR="0036373A"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a dominant </w:t>
      </w:r>
      <w:r w:rsidR="00F743DA" w:rsidRPr="00B63E94">
        <w:rPr>
          <w:rFonts w:ascii="Times New Roman" w:eastAsia="Times New Roman" w:hAnsi="Times New Roman" w:cs="Times New Roman"/>
          <w:sz w:val="24"/>
          <w:szCs w:val="24"/>
          <w:lang w:val="en-US" w:eastAsia="en-US"/>
        </w:rPr>
        <w:t>field</w:t>
      </w:r>
      <w:r w:rsidRPr="00B63E94">
        <w:rPr>
          <w:rFonts w:ascii="Times New Roman" w:eastAsia="Times New Roman" w:hAnsi="Times New Roman" w:cs="Times New Roman"/>
          <w:sz w:val="24"/>
          <w:szCs w:val="24"/>
          <w:lang w:val="en-US" w:eastAsia="en-US"/>
        </w:rPr>
        <w:t>)</w:t>
      </w:r>
      <w:r w:rsidR="00CD07F9" w:rsidRPr="00B63E94">
        <w:rPr>
          <w:rFonts w:ascii="Times New Roman" w:eastAsia="Times New Roman" w:hAnsi="Times New Roman" w:cs="Times New Roman"/>
          <w:sz w:val="24"/>
          <w:szCs w:val="24"/>
          <w:lang w:val="en-US" w:eastAsia="en-US"/>
        </w:rPr>
        <w:t xml:space="preserve">. </w:t>
      </w:r>
      <w:r w:rsidR="0063532B" w:rsidRPr="00B63E94">
        <w:rPr>
          <w:rFonts w:ascii="Times New Roman" w:eastAsia="Times New Roman" w:hAnsi="Times New Roman" w:cs="Times New Roman"/>
          <w:sz w:val="24"/>
          <w:szCs w:val="24"/>
          <w:lang w:val="en-US" w:eastAsia="en-US"/>
        </w:rPr>
        <w:t xml:space="preserve">Examples of </w:t>
      </w:r>
      <w:r w:rsidR="00513657" w:rsidRPr="00B63E94">
        <w:rPr>
          <w:rFonts w:ascii="Times New Roman" w:eastAsia="Times New Roman" w:hAnsi="Times New Roman" w:cs="Times New Roman"/>
          <w:sz w:val="24"/>
          <w:szCs w:val="24"/>
          <w:lang w:val="en-US" w:eastAsia="en-US"/>
        </w:rPr>
        <w:t>this approach</w:t>
      </w:r>
      <w:r w:rsidR="0063532B" w:rsidRPr="00B63E94">
        <w:rPr>
          <w:rFonts w:ascii="Times New Roman" w:eastAsia="Times New Roman" w:hAnsi="Times New Roman" w:cs="Times New Roman"/>
          <w:sz w:val="24"/>
          <w:szCs w:val="24"/>
          <w:lang w:val="en-US" w:eastAsia="en-US"/>
        </w:rPr>
        <w:t xml:space="preserve"> are</w:t>
      </w:r>
      <w:r w:rsidR="00CD07F9" w:rsidRPr="00B63E94">
        <w:rPr>
          <w:rFonts w:ascii="Times New Roman" w:eastAsia="Times New Roman" w:hAnsi="Times New Roman" w:cs="Times New Roman"/>
          <w:sz w:val="24"/>
          <w:szCs w:val="24"/>
          <w:lang w:val="en-US" w:eastAsia="en-US"/>
        </w:rPr>
        <w:t xml:space="preserve"> the Americans with Disabilities Act</w:t>
      </w:r>
      <w:r w:rsidR="0036373A" w:rsidRPr="00B63E94">
        <w:rPr>
          <w:rFonts w:ascii="Times New Roman" w:eastAsia="Times New Roman" w:hAnsi="Times New Roman" w:cs="Times New Roman"/>
          <w:sz w:val="24"/>
          <w:szCs w:val="24"/>
          <w:lang w:val="en-US" w:eastAsia="en-US"/>
        </w:rPr>
        <w:t xml:space="preserve"> 1989 </w:t>
      </w:r>
      <w:r w:rsidR="00CD07F9" w:rsidRPr="00B63E94">
        <w:rPr>
          <w:rFonts w:ascii="Times New Roman" w:eastAsia="Times New Roman" w:hAnsi="Times New Roman" w:cs="Times New Roman"/>
          <w:sz w:val="24"/>
          <w:szCs w:val="24"/>
          <w:lang w:val="en-US" w:eastAsia="en-US"/>
        </w:rPr>
        <w:t xml:space="preserve">(ADA, </w:t>
      </w:r>
      <w:r w:rsidR="00CD07F9" w:rsidRPr="00B63E94">
        <w:rPr>
          <w:rFonts w:ascii="Times New Roman" w:eastAsia="Times New Roman" w:hAnsi="Times New Roman" w:cs="Times New Roman"/>
          <w:sz w:val="24"/>
          <w:szCs w:val="24"/>
          <w:highlight w:val="yellow"/>
          <w:lang w:val="en-US" w:eastAsia="en-US"/>
        </w:rPr>
        <w:t xml:space="preserve">outlined in </w:t>
      </w:r>
      <w:proofErr w:type="gramStart"/>
      <w:r w:rsidR="00CD07F9" w:rsidRPr="00B63E94">
        <w:rPr>
          <w:rFonts w:ascii="Times New Roman" w:eastAsia="Times New Roman" w:hAnsi="Times New Roman" w:cs="Times New Roman"/>
          <w:sz w:val="24"/>
          <w:szCs w:val="24"/>
          <w:highlight w:val="yellow"/>
          <w:lang w:val="en-US" w:eastAsia="en-US"/>
        </w:rPr>
        <w:t>Chapter ??</w:t>
      </w:r>
      <w:proofErr w:type="gramEnd"/>
      <w:r w:rsidR="00CD07F9" w:rsidRPr="00B63E94">
        <w:rPr>
          <w:rFonts w:ascii="Times New Roman" w:eastAsia="Times New Roman" w:hAnsi="Times New Roman" w:cs="Times New Roman"/>
          <w:sz w:val="24"/>
          <w:szCs w:val="24"/>
          <w:lang w:val="en-US" w:eastAsia="en-US"/>
        </w:rPr>
        <w:t xml:space="preserve">) </w:t>
      </w:r>
      <w:r w:rsidR="0063532B" w:rsidRPr="00B63E94">
        <w:rPr>
          <w:rFonts w:ascii="Times New Roman" w:eastAsia="Times New Roman" w:hAnsi="Times New Roman" w:cs="Times New Roman"/>
          <w:sz w:val="24"/>
          <w:szCs w:val="24"/>
          <w:lang w:val="en-US" w:eastAsia="en-US"/>
        </w:rPr>
        <w:t>and</w:t>
      </w:r>
      <w:r w:rsidR="00CD07F9" w:rsidRPr="00B63E94">
        <w:rPr>
          <w:rFonts w:ascii="Times New Roman" w:eastAsia="Times New Roman" w:hAnsi="Times New Roman" w:cs="Times New Roman"/>
          <w:sz w:val="24"/>
          <w:szCs w:val="24"/>
          <w:lang w:val="en-US" w:eastAsia="en-US"/>
        </w:rPr>
        <w:t xml:space="preserve"> the Disability Discrimination Act 1995 </w:t>
      </w:r>
      <w:r w:rsidR="0036373A" w:rsidRPr="00B63E94">
        <w:rPr>
          <w:rFonts w:ascii="Times New Roman" w:eastAsia="Times New Roman" w:hAnsi="Times New Roman" w:cs="Times New Roman"/>
          <w:sz w:val="24"/>
          <w:szCs w:val="24"/>
          <w:lang w:val="en-US" w:eastAsia="en-US"/>
        </w:rPr>
        <w:t>(DDA</w:t>
      </w:r>
      <w:r w:rsidR="0063532B" w:rsidRPr="00B63E94">
        <w:rPr>
          <w:rFonts w:ascii="Times New Roman" w:eastAsia="Times New Roman" w:hAnsi="Times New Roman" w:cs="Times New Roman"/>
          <w:sz w:val="24"/>
          <w:szCs w:val="24"/>
          <w:lang w:val="en-US" w:eastAsia="en-US"/>
        </w:rPr>
        <w:t xml:space="preserve"> – </w:t>
      </w:r>
      <w:r w:rsidR="009E5287" w:rsidRPr="00B63E94">
        <w:rPr>
          <w:rFonts w:ascii="Times New Roman" w:eastAsia="Times New Roman" w:hAnsi="Times New Roman" w:cs="Times New Roman"/>
          <w:sz w:val="24"/>
          <w:szCs w:val="24"/>
          <w:lang w:val="en-US" w:eastAsia="en-US"/>
        </w:rPr>
        <w:t>since</w:t>
      </w:r>
      <w:r w:rsidR="0063532B" w:rsidRPr="00B63E94">
        <w:rPr>
          <w:rFonts w:ascii="Times New Roman" w:eastAsia="Times New Roman" w:hAnsi="Times New Roman" w:cs="Times New Roman"/>
          <w:sz w:val="24"/>
          <w:szCs w:val="24"/>
          <w:lang w:val="en-US" w:eastAsia="en-US"/>
        </w:rPr>
        <w:t xml:space="preserve"> </w:t>
      </w:r>
      <w:r w:rsidR="009E5287" w:rsidRPr="00B63E94">
        <w:rPr>
          <w:rFonts w:ascii="Times New Roman" w:eastAsia="Times New Roman" w:hAnsi="Times New Roman" w:cs="Times New Roman"/>
          <w:sz w:val="24"/>
          <w:szCs w:val="24"/>
          <w:lang w:val="en-US" w:eastAsia="en-US"/>
        </w:rPr>
        <w:t>incorporated in the Equality Act 2010</w:t>
      </w:r>
      <w:r w:rsidR="0036373A" w:rsidRPr="00B63E94">
        <w:rPr>
          <w:rFonts w:ascii="Times New Roman" w:eastAsia="Times New Roman" w:hAnsi="Times New Roman" w:cs="Times New Roman"/>
          <w:sz w:val="24"/>
          <w:szCs w:val="24"/>
          <w:lang w:val="en-US" w:eastAsia="en-US"/>
        </w:rPr>
        <w:t xml:space="preserve">) in </w:t>
      </w:r>
      <w:r w:rsidR="0063532B" w:rsidRPr="00B63E94">
        <w:rPr>
          <w:rFonts w:ascii="Times New Roman" w:eastAsia="Times New Roman" w:hAnsi="Times New Roman" w:cs="Times New Roman"/>
          <w:sz w:val="24"/>
          <w:szCs w:val="24"/>
          <w:lang w:val="en-US" w:eastAsia="en-US"/>
        </w:rPr>
        <w:t>the United Kingdom</w:t>
      </w:r>
      <w:r w:rsidR="00CD07F9" w:rsidRPr="00B63E94">
        <w:rPr>
          <w:rFonts w:ascii="Times New Roman" w:eastAsia="Times New Roman" w:hAnsi="Times New Roman" w:cs="Times New Roman"/>
          <w:sz w:val="24"/>
          <w:szCs w:val="24"/>
          <w:lang w:val="en-US" w:eastAsia="en-US"/>
        </w:rPr>
        <w:t>. Second, they identified</w:t>
      </w:r>
      <w:r w:rsidRPr="00B63E94">
        <w:rPr>
          <w:rFonts w:ascii="Times New Roman" w:eastAsia="Times New Roman" w:hAnsi="Times New Roman" w:cs="Times New Roman"/>
          <w:sz w:val="24"/>
          <w:szCs w:val="24"/>
          <w:lang w:val="en-US" w:eastAsia="en-US"/>
        </w:rPr>
        <w:t xml:space="preserve"> the division of disability policy into departmental concerns, in which employment </w:t>
      </w:r>
      <w:r w:rsidR="0036373A" w:rsidRPr="00B63E94">
        <w:rPr>
          <w:rFonts w:ascii="Times New Roman" w:eastAsia="Times New Roman" w:hAnsi="Times New Roman" w:cs="Times New Roman"/>
          <w:sz w:val="24"/>
          <w:szCs w:val="24"/>
          <w:lang w:val="en-US" w:eastAsia="en-US"/>
        </w:rPr>
        <w:t xml:space="preserve">rights and/or support measures are </w:t>
      </w:r>
      <w:r w:rsidR="0063532B" w:rsidRPr="00B63E94">
        <w:rPr>
          <w:rFonts w:ascii="Times New Roman" w:eastAsia="Times New Roman" w:hAnsi="Times New Roman" w:cs="Times New Roman"/>
          <w:sz w:val="24"/>
          <w:szCs w:val="24"/>
          <w:lang w:val="en-US" w:eastAsia="en-US"/>
        </w:rPr>
        <w:t xml:space="preserve">addressed in specific legislation, separate </w:t>
      </w:r>
      <w:r w:rsidR="0036373A" w:rsidRPr="00B63E94">
        <w:rPr>
          <w:rFonts w:ascii="Times New Roman" w:eastAsia="Times New Roman" w:hAnsi="Times New Roman" w:cs="Times New Roman"/>
          <w:sz w:val="24"/>
          <w:szCs w:val="24"/>
          <w:lang w:val="en-US" w:eastAsia="en-US"/>
        </w:rPr>
        <w:t>from other policy areas. At the time</w:t>
      </w:r>
      <w:r w:rsidR="005C2BE1" w:rsidRPr="00B63E94">
        <w:rPr>
          <w:rFonts w:ascii="Times New Roman" w:eastAsia="Times New Roman" w:hAnsi="Times New Roman" w:cs="Times New Roman"/>
          <w:sz w:val="24"/>
          <w:szCs w:val="24"/>
          <w:lang w:val="en-US" w:eastAsia="en-US"/>
        </w:rPr>
        <w:t xml:space="preserve"> of the report</w:t>
      </w:r>
      <w:r w:rsidR="0036373A" w:rsidRPr="00B63E94">
        <w:rPr>
          <w:rFonts w:ascii="Times New Roman" w:eastAsia="Times New Roman" w:hAnsi="Times New Roman" w:cs="Times New Roman"/>
          <w:sz w:val="24"/>
          <w:szCs w:val="24"/>
          <w:lang w:val="en-US" w:eastAsia="en-US"/>
        </w:rPr>
        <w:t xml:space="preserve">, such </w:t>
      </w:r>
      <w:r w:rsidR="009E5287" w:rsidRPr="00B63E94">
        <w:rPr>
          <w:rFonts w:ascii="Times New Roman" w:eastAsia="Times New Roman" w:hAnsi="Times New Roman" w:cs="Times New Roman"/>
          <w:sz w:val="24"/>
          <w:szCs w:val="24"/>
          <w:lang w:val="en-US" w:eastAsia="en-US"/>
        </w:rPr>
        <w:t xml:space="preserve">employment policies </w:t>
      </w:r>
      <w:r w:rsidR="0036373A" w:rsidRPr="00B63E94">
        <w:rPr>
          <w:rFonts w:ascii="Times New Roman" w:eastAsia="Times New Roman" w:hAnsi="Times New Roman" w:cs="Times New Roman"/>
          <w:sz w:val="24"/>
          <w:szCs w:val="24"/>
          <w:lang w:val="en-US" w:eastAsia="en-US"/>
        </w:rPr>
        <w:t xml:space="preserve">mostly </w:t>
      </w:r>
      <w:r w:rsidR="0063532B" w:rsidRPr="00B63E94">
        <w:rPr>
          <w:rFonts w:ascii="Times New Roman" w:eastAsia="Times New Roman" w:hAnsi="Times New Roman" w:cs="Times New Roman"/>
          <w:sz w:val="24"/>
          <w:szCs w:val="24"/>
          <w:lang w:val="en-US" w:eastAsia="en-US"/>
        </w:rPr>
        <w:t>sought to</w:t>
      </w:r>
      <w:r w:rsidR="0036373A" w:rsidRPr="00B63E94">
        <w:rPr>
          <w:rFonts w:ascii="Times New Roman" w:eastAsia="Times New Roman" w:hAnsi="Times New Roman" w:cs="Times New Roman"/>
          <w:sz w:val="24"/>
          <w:szCs w:val="24"/>
          <w:lang w:val="en-US" w:eastAsia="en-US"/>
        </w:rPr>
        <w:t xml:space="preserve"> </w:t>
      </w:r>
      <w:r w:rsidR="00882C19" w:rsidRPr="00B63E94">
        <w:rPr>
          <w:rFonts w:ascii="Times New Roman" w:eastAsia="Times New Roman" w:hAnsi="Times New Roman" w:cs="Times New Roman"/>
          <w:sz w:val="24"/>
          <w:szCs w:val="24"/>
          <w:lang w:val="en-US" w:eastAsia="en-US"/>
        </w:rPr>
        <w:t>compensate</w:t>
      </w:r>
      <w:r w:rsidR="0036373A" w:rsidRPr="00B63E94">
        <w:rPr>
          <w:rFonts w:ascii="Times New Roman" w:eastAsia="Times New Roman" w:hAnsi="Times New Roman" w:cs="Times New Roman"/>
          <w:sz w:val="24"/>
          <w:szCs w:val="24"/>
          <w:lang w:val="en-US" w:eastAsia="en-US"/>
        </w:rPr>
        <w:t xml:space="preserve">, facilitate or </w:t>
      </w:r>
      <w:r w:rsidR="0063532B" w:rsidRPr="00B63E94">
        <w:rPr>
          <w:rFonts w:ascii="Times New Roman" w:eastAsia="Times New Roman" w:hAnsi="Times New Roman" w:cs="Times New Roman"/>
          <w:sz w:val="24"/>
          <w:szCs w:val="24"/>
          <w:lang w:val="en-US" w:eastAsia="en-US"/>
        </w:rPr>
        <w:t>encourage</w:t>
      </w:r>
      <w:r w:rsidR="0036373A" w:rsidRPr="00B63E94">
        <w:rPr>
          <w:rFonts w:ascii="Times New Roman" w:eastAsia="Times New Roman" w:hAnsi="Times New Roman" w:cs="Times New Roman"/>
          <w:sz w:val="24"/>
          <w:szCs w:val="24"/>
          <w:lang w:val="en-US" w:eastAsia="en-US"/>
        </w:rPr>
        <w:t xml:space="preserve"> the employment of disabled people (e.g. via employment quotas, subsidies and services) rather than to ensure and enforce equal rights</w:t>
      </w:r>
      <w:r w:rsidR="00882C19" w:rsidRPr="00B63E94">
        <w:rPr>
          <w:rFonts w:ascii="Times New Roman" w:eastAsia="Times New Roman" w:hAnsi="Times New Roman" w:cs="Times New Roman"/>
          <w:sz w:val="24"/>
          <w:szCs w:val="24"/>
          <w:lang w:val="en-US" w:eastAsia="en-US"/>
        </w:rPr>
        <w:t xml:space="preserve"> or to make the labour market more accessible and inclusive</w:t>
      </w:r>
      <w:r w:rsidR="0036373A" w:rsidRPr="00B63E94">
        <w:rPr>
          <w:rFonts w:ascii="Times New Roman" w:eastAsia="Times New Roman" w:hAnsi="Times New Roman" w:cs="Times New Roman"/>
          <w:sz w:val="24"/>
          <w:szCs w:val="24"/>
          <w:lang w:val="en-US" w:eastAsia="en-US"/>
        </w:rPr>
        <w:t xml:space="preserve">. </w:t>
      </w:r>
      <w:r w:rsidR="00882C19" w:rsidRPr="00B63E94">
        <w:rPr>
          <w:rFonts w:ascii="Times New Roman" w:eastAsia="Times New Roman" w:hAnsi="Times New Roman" w:cs="Times New Roman"/>
          <w:sz w:val="24"/>
          <w:szCs w:val="24"/>
          <w:lang w:val="en-US" w:eastAsia="en-US"/>
        </w:rPr>
        <w:t>H</w:t>
      </w:r>
      <w:r w:rsidR="0036373A" w:rsidRPr="00B63E94">
        <w:rPr>
          <w:rFonts w:ascii="Times New Roman" w:eastAsia="Times New Roman" w:hAnsi="Times New Roman" w:cs="Times New Roman"/>
          <w:sz w:val="24"/>
          <w:szCs w:val="24"/>
          <w:lang w:val="en-US" w:eastAsia="en-US"/>
        </w:rPr>
        <w:t xml:space="preserve">ybrid approaches </w:t>
      </w:r>
      <w:r w:rsidR="005C2BE1" w:rsidRPr="00B63E94">
        <w:rPr>
          <w:rFonts w:ascii="Times New Roman" w:eastAsia="Times New Roman" w:hAnsi="Times New Roman" w:cs="Times New Roman"/>
          <w:sz w:val="24"/>
          <w:szCs w:val="24"/>
          <w:lang w:val="en-US" w:eastAsia="en-US"/>
        </w:rPr>
        <w:t xml:space="preserve">merging both non-discrimination legislation and employment specific measures </w:t>
      </w:r>
      <w:r w:rsidR="0036373A" w:rsidRPr="00B63E94">
        <w:rPr>
          <w:rFonts w:ascii="Times New Roman" w:eastAsia="Times New Roman" w:hAnsi="Times New Roman" w:cs="Times New Roman"/>
          <w:sz w:val="24"/>
          <w:szCs w:val="24"/>
          <w:lang w:val="en-US" w:eastAsia="en-US"/>
        </w:rPr>
        <w:t xml:space="preserve">have </w:t>
      </w:r>
      <w:r w:rsidR="005C2BE1" w:rsidRPr="00B63E94">
        <w:rPr>
          <w:rFonts w:ascii="Times New Roman" w:eastAsia="Times New Roman" w:hAnsi="Times New Roman" w:cs="Times New Roman"/>
          <w:sz w:val="24"/>
          <w:szCs w:val="24"/>
          <w:lang w:val="en-US" w:eastAsia="en-US"/>
        </w:rPr>
        <w:t xml:space="preserve">subsequently </w:t>
      </w:r>
      <w:r w:rsidR="00882C19" w:rsidRPr="00B63E94">
        <w:rPr>
          <w:rFonts w:ascii="Times New Roman" w:eastAsia="Times New Roman" w:hAnsi="Times New Roman" w:cs="Times New Roman"/>
          <w:sz w:val="24"/>
          <w:szCs w:val="24"/>
          <w:lang w:val="en-US" w:eastAsia="en-US"/>
        </w:rPr>
        <w:t>become</w:t>
      </w:r>
      <w:r w:rsidR="0036373A" w:rsidRPr="00B63E94">
        <w:rPr>
          <w:rFonts w:ascii="Times New Roman" w:eastAsia="Times New Roman" w:hAnsi="Times New Roman" w:cs="Times New Roman"/>
          <w:sz w:val="24"/>
          <w:szCs w:val="24"/>
          <w:lang w:val="en-US" w:eastAsia="en-US"/>
        </w:rPr>
        <w:t xml:space="preserve"> evident</w:t>
      </w:r>
      <w:r w:rsidR="005C2BE1" w:rsidRPr="00B63E94">
        <w:rPr>
          <w:rFonts w:ascii="Times New Roman" w:eastAsia="Times New Roman" w:hAnsi="Times New Roman" w:cs="Times New Roman"/>
          <w:sz w:val="24"/>
          <w:szCs w:val="24"/>
          <w:lang w:val="en-US" w:eastAsia="en-US"/>
        </w:rPr>
        <w:t>.</w:t>
      </w:r>
      <w:r w:rsidR="0036373A" w:rsidRPr="00B63E94">
        <w:rPr>
          <w:rFonts w:ascii="Times New Roman" w:eastAsia="Times New Roman" w:hAnsi="Times New Roman" w:cs="Times New Roman"/>
          <w:sz w:val="24"/>
          <w:szCs w:val="24"/>
          <w:lang w:val="en-US" w:eastAsia="en-US"/>
        </w:rPr>
        <w:t xml:space="preserve"> For example, the  EU Employment Equality Directive 2000/78/EC</w:t>
      </w:r>
      <w:r w:rsidR="0063532B" w:rsidRPr="00B63E94">
        <w:rPr>
          <w:rStyle w:val="FootnoteReference"/>
          <w:rFonts w:ascii="Times New Roman" w:eastAsia="Times New Roman" w:hAnsi="Times New Roman" w:cs="Times New Roman"/>
          <w:sz w:val="24"/>
          <w:szCs w:val="24"/>
          <w:lang w:val="en-US" w:eastAsia="en-US"/>
        </w:rPr>
        <w:footnoteReference w:id="48"/>
      </w:r>
      <w:r w:rsidR="0036373A" w:rsidRPr="00B63E94">
        <w:rPr>
          <w:rFonts w:ascii="Times New Roman" w:eastAsia="Times New Roman" w:hAnsi="Times New Roman" w:cs="Times New Roman"/>
          <w:sz w:val="24"/>
          <w:szCs w:val="24"/>
          <w:lang w:val="en-US" w:eastAsia="en-US"/>
        </w:rPr>
        <w:t xml:space="preserve"> </w:t>
      </w:r>
      <w:r w:rsidR="0063532B" w:rsidRPr="00B63E94">
        <w:rPr>
          <w:rFonts w:ascii="Times New Roman" w:eastAsia="Times New Roman" w:hAnsi="Times New Roman" w:cs="Times New Roman"/>
          <w:sz w:val="24"/>
          <w:szCs w:val="24"/>
          <w:lang w:val="en-US" w:eastAsia="en-US"/>
        </w:rPr>
        <w:t>reflects</w:t>
      </w:r>
      <w:r w:rsidR="0036373A" w:rsidRPr="00B63E94">
        <w:rPr>
          <w:rFonts w:ascii="Times New Roman" w:eastAsia="Times New Roman" w:hAnsi="Times New Roman" w:cs="Times New Roman"/>
          <w:sz w:val="24"/>
          <w:szCs w:val="24"/>
          <w:lang w:val="en-US" w:eastAsia="en-US"/>
        </w:rPr>
        <w:t xml:space="preserve"> the non-discrimination principle of the </w:t>
      </w:r>
      <w:r w:rsidR="003209FE" w:rsidRPr="00B63E94">
        <w:rPr>
          <w:rFonts w:ascii="Times New Roman" w:eastAsia="Times New Roman" w:hAnsi="Times New Roman" w:cs="Times New Roman"/>
          <w:sz w:val="24"/>
          <w:szCs w:val="24"/>
          <w:lang w:val="en-US" w:eastAsia="en-US"/>
        </w:rPr>
        <w:t>first</w:t>
      </w:r>
      <w:r w:rsidR="0036373A" w:rsidRPr="00B63E94">
        <w:rPr>
          <w:rFonts w:ascii="Times New Roman" w:eastAsia="Times New Roman" w:hAnsi="Times New Roman" w:cs="Times New Roman"/>
          <w:sz w:val="24"/>
          <w:szCs w:val="24"/>
          <w:lang w:val="en-US" w:eastAsia="en-US"/>
        </w:rPr>
        <w:t xml:space="preserve"> approach but </w:t>
      </w:r>
      <w:r w:rsidR="001D342B" w:rsidRPr="00B63E94">
        <w:rPr>
          <w:rFonts w:ascii="Times New Roman" w:eastAsia="Times New Roman" w:hAnsi="Times New Roman" w:cs="Times New Roman"/>
          <w:sz w:val="24"/>
          <w:szCs w:val="24"/>
          <w:lang w:val="en-US" w:eastAsia="en-US"/>
        </w:rPr>
        <w:t xml:space="preserve">is </w:t>
      </w:r>
      <w:r w:rsidR="0036373A" w:rsidRPr="00B63E94">
        <w:rPr>
          <w:rFonts w:ascii="Times New Roman" w:eastAsia="Times New Roman" w:hAnsi="Times New Roman" w:cs="Times New Roman"/>
          <w:sz w:val="24"/>
          <w:szCs w:val="24"/>
          <w:lang w:val="en-US" w:eastAsia="en-US"/>
        </w:rPr>
        <w:t>limited to the field of occupation, employment and vocational training</w:t>
      </w:r>
      <w:r w:rsidR="0079301E" w:rsidRPr="00B63E94">
        <w:rPr>
          <w:rFonts w:ascii="Times New Roman" w:eastAsia="Times New Roman" w:hAnsi="Times New Roman" w:cs="Times New Roman"/>
          <w:sz w:val="24"/>
          <w:szCs w:val="24"/>
          <w:lang w:val="en-US" w:eastAsia="en-US"/>
        </w:rPr>
        <w:t xml:space="preserve"> as in the second </w:t>
      </w:r>
      <w:r w:rsidR="00513657" w:rsidRPr="00B63E94">
        <w:rPr>
          <w:rFonts w:ascii="Times New Roman" w:eastAsia="Times New Roman" w:hAnsi="Times New Roman" w:cs="Times New Roman"/>
          <w:sz w:val="24"/>
          <w:szCs w:val="24"/>
          <w:lang w:val="en-US" w:eastAsia="en-US"/>
        </w:rPr>
        <w:t>type</w:t>
      </w:r>
      <w:r w:rsidR="00F743DA" w:rsidRPr="00B63E94">
        <w:rPr>
          <w:rFonts w:ascii="Times New Roman" w:eastAsia="Times New Roman" w:hAnsi="Times New Roman" w:cs="Times New Roman"/>
          <w:sz w:val="24"/>
          <w:szCs w:val="24"/>
          <w:lang w:val="en-US" w:eastAsia="en-US"/>
        </w:rPr>
        <w:t xml:space="preserve"> of policy</w:t>
      </w:r>
      <w:r w:rsidR="0036373A" w:rsidRPr="00B63E94">
        <w:rPr>
          <w:rFonts w:ascii="Times New Roman" w:eastAsia="Times New Roman" w:hAnsi="Times New Roman" w:cs="Times New Roman"/>
          <w:sz w:val="24"/>
          <w:szCs w:val="24"/>
          <w:lang w:val="en-US" w:eastAsia="en-US"/>
        </w:rPr>
        <w:t>.</w:t>
      </w:r>
    </w:p>
    <w:p w14:paraId="24ABA3E8" w14:textId="1129FEC3" w:rsidR="00496641" w:rsidRPr="00B63E94" w:rsidRDefault="00496641"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 xml:space="preserve">Goss, Goss and Adam-Smith also </w:t>
      </w:r>
      <w:r w:rsidR="003209FE" w:rsidRPr="00B63E94">
        <w:rPr>
          <w:rFonts w:ascii="Times New Roman" w:eastAsia="Times New Roman" w:hAnsi="Times New Roman" w:cs="Times New Roman"/>
          <w:sz w:val="24"/>
          <w:szCs w:val="24"/>
          <w:lang w:val="en-US" w:eastAsia="en-US"/>
        </w:rPr>
        <w:t>identified</w:t>
      </w:r>
      <w:r w:rsidR="0079301E" w:rsidRPr="00B63E94">
        <w:rPr>
          <w:rFonts w:ascii="Times New Roman" w:eastAsia="Times New Roman" w:hAnsi="Times New Roman" w:cs="Times New Roman"/>
          <w:sz w:val="24"/>
          <w:szCs w:val="24"/>
          <w:lang w:val="en-US" w:eastAsia="en-US"/>
        </w:rPr>
        <w:t xml:space="preserve"> two distinct approaches </w:t>
      </w:r>
      <w:r w:rsidR="001D342B" w:rsidRPr="00B63E94">
        <w:rPr>
          <w:rFonts w:ascii="Times New Roman" w:eastAsia="Times New Roman" w:hAnsi="Times New Roman" w:cs="Times New Roman"/>
          <w:sz w:val="24"/>
          <w:szCs w:val="24"/>
          <w:lang w:val="en-US" w:eastAsia="en-US"/>
        </w:rPr>
        <w:t xml:space="preserve">to promoting the employment of disabled people </w:t>
      </w:r>
      <w:r w:rsidR="0079301E" w:rsidRPr="00B63E94">
        <w:rPr>
          <w:rFonts w:ascii="Times New Roman" w:eastAsia="Times New Roman" w:hAnsi="Times New Roman" w:cs="Times New Roman"/>
          <w:sz w:val="24"/>
          <w:szCs w:val="24"/>
          <w:lang w:val="en-US" w:eastAsia="en-US"/>
        </w:rPr>
        <w:t xml:space="preserve">in </w:t>
      </w:r>
      <w:r w:rsidR="001D342B" w:rsidRPr="00B63E94">
        <w:rPr>
          <w:rFonts w:ascii="Times New Roman" w:eastAsia="Times New Roman" w:hAnsi="Times New Roman" w:cs="Times New Roman"/>
          <w:sz w:val="24"/>
          <w:szCs w:val="24"/>
          <w:lang w:val="en-US" w:eastAsia="en-US"/>
        </w:rPr>
        <w:t>more developed economies</w:t>
      </w:r>
      <w:r w:rsidR="003209FE" w:rsidRPr="00B63E94">
        <w:rPr>
          <w:rFonts w:ascii="Times New Roman" w:eastAsia="Times New Roman" w:hAnsi="Times New Roman" w:cs="Times New Roman"/>
          <w:sz w:val="24"/>
          <w:szCs w:val="24"/>
          <w:lang w:val="en-US" w:eastAsia="en-US"/>
        </w:rPr>
        <w:t xml:space="preserve"> during the 1990s</w:t>
      </w:r>
      <w:r w:rsidRPr="00B63E94">
        <w:rPr>
          <w:rFonts w:ascii="Times New Roman" w:eastAsia="Times New Roman" w:hAnsi="Times New Roman" w:cs="Times New Roman"/>
          <w:sz w:val="24"/>
          <w:szCs w:val="24"/>
          <w:lang w:val="en-US" w:eastAsia="en-US"/>
        </w:rPr>
        <w:t>.</w:t>
      </w:r>
      <w:r w:rsidR="001D342B" w:rsidRPr="00B63E94">
        <w:rPr>
          <w:rStyle w:val="FootnoteReference"/>
          <w:rFonts w:ascii="Times New Roman" w:eastAsia="Times New Roman" w:hAnsi="Times New Roman" w:cs="Times New Roman"/>
          <w:sz w:val="24"/>
          <w:szCs w:val="24"/>
          <w:lang w:val="en-US" w:eastAsia="en-US"/>
        </w:rPr>
        <w:footnoteReference w:id="49"/>
      </w:r>
      <w:r w:rsidRPr="00B63E94">
        <w:rPr>
          <w:rFonts w:ascii="Times New Roman" w:eastAsia="Times New Roman" w:hAnsi="Times New Roman" w:cs="Times New Roman"/>
          <w:sz w:val="24"/>
          <w:szCs w:val="24"/>
          <w:lang w:val="en-US" w:eastAsia="en-US"/>
        </w:rPr>
        <w:t xml:space="preserve"> Thus, they identify an American tradition, based on anti-discrimination measures and civil rights and a </w:t>
      </w:r>
      <w:r w:rsidRPr="00B63E94">
        <w:rPr>
          <w:rFonts w:ascii="Times New Roman" w:eastAsia="Times New Roman" w:hAnsi="Times New Roman" w:cs="Times New Roman"/>
          <w:sz w:val="24"/>
          <w:szCs w:val="24"/>
          <w:lang w:val="en-US" w:eastAsia="en-US"/>
        </w:rPr>
        <w:lastRenderedPageBreak/>
        <w:t xml:space="preserve">European tradition based on compulsory employment quotas and state intervention. </w:t>
      </w:r>
      <w:r w:rsidR="00050813" w:rsidRPr="00B63E94">
        <w:rPr>
          <w:rFonts w:ascii="Times New Roman" w:eastAsia="Times New Roman" w:hAnsi="Times New Roman" w:cs="Times New Roman"/>
          <w:sz w:val="24"/>
          <w:szCs w:val="24"/>
          <w:lang w:val="en-US" w:eastAsia="en-US"/>
        </w:rPr>
        <w:t xml:space="preserve">This binary </w:t>
      </w:r>
      <w:r w:rsidR="0079301E" w:rsidRPr="00B63E94">
        <w:rPr>
          <w:rFonts w:ascii="Times New Roman" w:eastAsia="Times New Roman" w:hAnsi="Times New Roman" w:cs="Times New Roman"/>
          <w:sz w:val="24"/>
          <w:szCs w:val="24"/>
          <w:lang w:val="en-US" w:eastAsia="en-US"/>
        </w:rPr>
        <w:t xml:space="preserve">distinction </w:t>
      </w:r>
      <w:r w:rsidR="003209FE" w:rsidRPr="00B63E94">
        <w:rPr>
          <w:rFonts w:ascii="Times New Roman" w:eastAsia="Times New Roman" w:hAnsi="Times New Roman" w:cs="Times New Roman"/>
          <w:sz w:val="24"/>
          <w:szCs w:val="24"/>
          <w:lang w:val="en-US" w:eastAsia="en-US"/>
        </w:rPr>
        <w:t>is</w:t>
      </w:r>
      <w:r w:rsidR="0079301E" w:rsidRPr="00B63E94">
        <w:rPr>
          <w:rFonts w:ascii="Times New Roman" w:eastAsia="Times New Roman" w:hAnsi="Times New Roman" w:cs="Times New Roman"/>
          <w:sz w:val="24"/>
          <w:szCs w:val="24"/>
          <w:lang w:val="en-US" w:eastAsia="en-US"/>
        </w:rPr>
        <w:t xml:space="preserve"> </w:t>
      </w:r>
      <w:r w:rsidR="00050813" w:rsidRPr="00B63E94">
        <w:rPr>
          <w:rFonts w:ascii="Times New Roman" w:eastAsia="Times New Roman" w:hAnsi="Times New Roman" w:cs="Times New Roman"/>
          <w:sz w:val="24"/>
          <w:szCs w:val="24"/>
          <w:lang w:val="en-US" w:eastAsia="en-US"/>
        </w:rPr>
        <w:t xml:space="preserve">somewhat </w:t>
      </w:r>
      <w:r w:rsidR="0079301E" w:rsidRPr="00B63E94">
        <w:rPr>
          <w:rFonts w:ascii="Times New Roman" w:eastAsia="Times New Roman" w:hAnsi="Times New Roman" w:cs="Times New Roman"/>
          <w:sz w:val="24"/>
          <w:szCs w:val="24"/>
          <w:lang w:val="en-US" w:eastAsia="en-US"/>
        </w:rPr>
        <w:t>problemati</w:t>
      </w:r>
      <w:r w:rsidR="00C06578" w:rsidRPr="00B63E94">
        <w:rPr>
          <w:rFonts w:ascii="Times New Roman" w:eastAsia="Times New Roman" w:hAnsi="Times New Roman" w:cs="Times New Roman"/>
          <w:sz w:val="24"/>
          <w:szCs w:val="24"/>
          <w:lang w:val="en-US" w:eastAsia="en-US"/>
        </w:rPr>
        <w:t>s</w:t>
      </w:r>
      <w:r w:rsidR="0079301E" w:rsidRPr="00B63E94">
        <w:rPr>
          <w:rFonts w:ascii="Times New Roman" w:eastAsia="Times New Roman" w:hAnsi="Times New Roman" w:cs="Times New Roman"/>
          <w:sz w:val="24"/>
          <w:szCs w:val="24"/>
          <w:lang w:val="en-US" w:eastAsia="en-US"/>
        </w:rPr>
        <w:t xml:space="preserve">ed by the </w:t>
      </w:r>
      <w:r w:rsidR="00050813" w:rsidRPr="00B63E94">
        <w:rPr>
          <w:rFonts w:ascii="Times New Roman" w:eastAsia="Times New Roman" w:hAnsi="Times New Roman" w:cs="Times New Roman"/>
          <w:sz w:val="24"/>
          <w:szCs w:val="24"/>
          <w:lang w:val="en-US" w:eastAsia="en-US"/>
        </w:rPr>
        <w:t>EU Framework Directive</w:t>
      </w:r>
      <w:r w:rsidR="0079301E" w:rsidRPr="00B63E94">
        <w:rPr>
          <w:rFonts w:ascii="Times New Roman" w:eastAsia="Times New Roman" w:hAnsi="Times New Roman" w:cs="Times New Roman"/>
          <w:sz w:val="24"/>
          <w:szCs w:val="24"/>
          <w:lang w:val="en-US" w:eastAsia="en-US"/>
        </w:rPr>
        <w:t xml:space="preserve"> and the proliferation of national non-discrimination laws in European countries </w:t>
      </w:r>
      <w:r w:rsidR="00F743DA" w:rsidRPr="00B63E94">
        <w:rPr>
          <w:rFonts w:ascii="Times New Roman" w:eastAsia="Times New Roman" w:hAnsi="Times New Roman" w:cs="Times New Roman"/>
          <w:sz w:val="24"/>
          <w:szCs w:val="24"/>
          <w:lang w:val="en-US" w:eastAsia="en-US"/>
        </w:rPr>
        <w:t xml:space="preserve">which </w:t>
      </w:r>
      <w:r w:rsidR="00C06578" w:rsidRPr="00B63E94">
        <w:rPr>
          <w:rFonts w:ascii="Times New Roman" w:eastAsia="Times New Roman" w:hAnsi="Times New Roman" w:cs="Times New Roman"/>
          <w:sz w:val="24"/>
          <w:szCs w:val="24"/>
          <w:lang w:val="en-US" w:eastAsia="en-US"/>
        </w:rPr>
        <w:t>occurred</w:t>
      </w:r>
      <w:r w:rsidR="00F743DA" w:rsidRPr="00B63E94">
        <w:rPr>
          <w:rFonts w:ascii="Times New Roman" w:eastAsia="Times New Roman" w:hAnsi="Times New Roman" w:cs="Times New Roman"/>
          <w:sz w:val="24"/>
          <w:szCs w:val="24"/>
          <w:lang w:val="en-US" w:eastAsia="en-US"/>
        </w:rPr>
        <w:t xml:space="preserve"> subsequently</w:t>
      </w:r>
      <w:r w:rsidR="0079301E"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Gooding </w:t>
      </w:r>
      <w:r w:rsidR="0079301E" w:rsidRPr="00B63E94">
        <w:rPr>
          <w:rFonts w:ascii="Times New Roman" w:eastAsia="Times New Roman" w:hAnsi="Times New Roman" w:cs="Times New Roman"/>
          <w:sz w:val="24"/>
          <w:szCs w:val="24"/>
          <w:lang w:val="en-US" w:eastAsia="en-US"/>
        </w:rPr>
        <w:t xml:space="preserve">linked the </w:t>
      </w:r>
      <w:r w:rsidR="00050813" w:rsidRPr="00B63E94">
        <w:rPr>
          <w:rFonts w:ascii="Times New Roman" w:eastAsia="Times New Roman" w:hAnsi="Times New Roman" w:cs="Times New Roman"/>
          <w:sz w:val="24"/>
          <w:szCs w:val="24"/>
          <w:lang w:val="en-US" w:eastAsia="en-US"/>
        </w:rPr>
        <w:t>differences in policies</w:t>
      </w:r>
      <w:r w:rsidR="0079301E" w:rsidRPr="00B63E94">
        <w:rPr>
          <w:rFonts w:ascii="Times New Roman" w:eastAsia="Times New Roman" w:hAnsi="Times New Roman" w:cs="Times New Roman"/>
          <w:sz w:val="24"/>
          <w:szCs w:val="24"/>
          <w:lang w:val="en-US" w:eastAsia="en-US"/>
        </w:rPr>
        <w:t xml:space="preserve"> to different models of disability</w:t>
      </w:r>
      <w:r w:rsidRPr="00B63E94">
        <w:rPr>
          <w:rFonts w:ascii="Times New Roman" w:eastAsia="Times New Roman" w:hAnsi="Times New Roman" w:cs="Times New Roman"/>
          <w:sz w:val="24"/>
          <w:szCs w:val="24"/>
          <w:lang w:val="en-US" w:eastAsia="en-US"/>
        </w:rPr>
        <w:t>, equating quota systems with medical and compensatory models of disability, and rights-based approaches with social models:</w:t>
      </w:r>
    </w:p>
    <w:p w14:paraId="67BBCC6D" w14:textId="77777777" w:rsidR="00496641" w:rsidRPr="00B63E94" w:rsidRDefault="00496641" w:rsidP="00F22086">
      <w:pPr>
        <w:pStyle w:val="Quote"/>
        <w:spacing w:line="360" w:lineRule="auto"/>
        <w:jc w:val="both"/>
        <w:rPr>
          <w:rFonts w:ascii="Times New Roman" w:hAnsi="Times New Roman" w:cs="Times New Roman"/>
          <w:sz w:val="24"/>
          <w:szCs w:val="24"/>
          <w:lang w:eastAsia="en-US"/>
        </w:rPr>
      </w:pPr>
      <w:r w:rsidRPr="00B63E94">
        <w:rPr>
          <w:rFonts w:ascii="Times New Roman" w:hAnsi="Times New Roman" w:cs="Times New Roman"/>
          <w:sz w:val="24"/>
          <w:szCs w:val="24"/>
          <w:lang w:eastAsia="en-US"/>
        </w:rPr>
        <w:t xml:space="preserve">The different approaches are reflected in the contrasting rationales of the </w:t>
      </w:r>
      <w:bookmarkStart w:id="6" w:name="_VV80M"/>
      <w:r w:rsidRPr="00B63E94">
        <w:rPr>
          <w:rFonts w:ascii="Times New Roman" w:hAnsi="Times New Roman" w:cs="Times New Roman"/>
          <w:sz w:val="24"/>
          <w:szCs w:val="24"/>
          <w:lang w:eastAsia="en-US"/>
        </w:rPr>
        <w:t>two</w:t>
      </w:r>
      <w:bookmarkEnd w:id="6"/>
      <w:r w:rsidRPr="00B63E94">
        <w:rPr>
          <w:rFonts w:ascii="Times New Roman" w:hAnsi="Times New Roman" w:cs="Times New Roman"/>
          <w:sz w:val="24"/>
          <w:szCs w:val="24"/>
          <w:lang w:eastAsia="en-US"/>
        </w:rPr>
        <w:t xml:space="preserve"> policies. The quota is fundamentally a collective compensation to individuals for loss of capacity</w:t>
      </w:r>
      <w:bookmarkStart w:id="7" w:name="_VV95M"/>
      <w:r w:rsidRPr="00B63E94">
        <w:rPr>
          <w:rFonts w:ascii="Times New Roman" w:hAnsi="Times New Roman" w:cs="Times New Roman"/>
          <w:sz w:val="24"/>
          <w:szCs w:val="24"/>
          <w:lang w:eastAsia="en-US"/>
        </w:rPr>
        <w:t>.</w:t>
      </w:r>
      <w:bookmarkEnd w:id="7"/>
      <w:r w:rsidRPr="00B63E94">
        <w:rPr>
          <w:rFonts w:ascii="Times New Roman" w:hAnsi="Times New Roman" w:cs="Times New Roman"/>
          <w:sz w:val="24"/>
          <w:szCs w:val="24"/>
          <w:lang w:eastAsia="en-US"/>
        </w:rPr>
        <w:t xml:space="preserve"> The impetus for this derives from the state</w:t>
      </w:r>
      <w:bookmarkStart w:id="8" w:name="_VV31M"/>
      <w:r w:rsidRPr="00B63E94">
        <w:rPr>
          <w:rFonts w:ascii="Times New Roman" w:hAnsi="Times New Roman" w:cs="Times New Roman"/>
          <w:sz w:val="24"/>
          <w:szCs w:val="24"/>
          <w:lang w:eastAsia="en-US"/>
        </w:rPr>
        <w:t>.</w:t>
      </w:r>
      <w:bookmarkEnd w:id="8"/>
      <w:r w:rsidRPr="00B63E94">
        <w:rPr>
          <w:rFonts w:ascii="Times New Roman" w:hAnsi="Times New Roman" w:cs="Times New Roman"/>
          <w:sz w:val="24"/>
          <w:szCs w:val="24"/>
          <w:lang w:eastAsia="en-US"/>
        </w:rPr>
        <w:t xml:space="preserve"> In contrast impetus for the rights approach derives </w:t>
      </w:r>
      <w:bookmarkStart w:id="9" w:name="_VV41"/>
      <w:r w:rsidRPr="00B63E94">
        <w:rPr>
          <w:rFonts w:ascii="Times New Roman" w:hAnsi="Times New Roman" w:cs="Times New Roman"/>
          <w:sz w:val="24"/>
          <w:szCs w:val="24"/>
          <w:lang w:eastAsia="en-US"/>
        </w:rPr>
        <w:t>from</w:t>
      </w:r>
      <w:bookmarkEnd w:id="9"/>
      <w:r w:rsidRPr="00B63E94">
        <w:rPr>
          <w:rFonts w:ascii="Times New Roman" w:hAnsi="Times New Roman" w:cs="Times New Roman"/>
          <w:sz w:val="24"/>
          <w:szCs w:val="24"/>
          <w:lang w:eastAsia="en-US"/>
        </w:rPr>
        <w:t xml:space="preserve"> the movement of disabled people themselves</w:t>
      </w:r>
      <w:bookmarkStart w:id="10" w:name="_VV48M"/>
      <w:r w:rsidRPr="00B63E94">
        <w:rPr>
          <w:rFonts w:ascii="Times New Roman" w:hAnsi="Times New Roman" w:cs="Times New Roman"/>
          <w:sz w:val="24"/>
          <w:szCs w:val="24"/>
          <w:lang w:eastAsia="en-US"/>
        </w:rPr>
        <w:t>,</w:t>
      </w:r>
      <w:bookmarkEnd w:id="10"/>
      <w:r w:rsidRPr="00B63E94">
        <w:rPr>
          <w:rFonts w:ascii="Times New Roman" w:hAnsi="Times New Roman" w:cs="Times New Roman"/>
          <w:sz w:val="24"/>
          <w:szCs w:val="24"/>
          <w:lang w:eastAsia="en-US"/>
        </w:rPr>
        <w:t xml:space="preserve"> and it does not seek to compensate the individual </w:t>
      </w:r>
      <w:bookmarkStart w:id="11" w:name="_VV57"/>
      <w:r w:rsidRPr="00B63E94">
        <w:rPr>
          <w:rFonts w:ascii="Times New Roman" w:hAnsi="Times New Roman" w:cs="Times New Roman"/>
          <w:sz w:val="24"/>
          <w:szCs w:val="24"/>
          <w:lang w:eastAsia="en-US"/>
        </w:rPr>
        <w:t>but</w:t>
      </w:r>
      <w:bookmarkEnd w:id="11"/>
      <w:r w:rsidRPr="00B63E94">
        <w:rPr>
          <w:rFonts w:ascii="Times New Roman" w:hAnsi="Times New Roman" w:cs="Times New Roman"/>
          <w:sz w:val="24"/>
          <w:szCs w:val="24"/>
          <w:lang w:eastAsia="en-US"/>
        </w:rPr>
        <w:t xml:space="preserve"> </w:t>
      </w:r>
      <w:bookmarkStart w:id="12" w:name="_VV58"/>
      <w:r w:rsidRPr="00B63E94">
        <w:rPr>
          <w:rFonts w:ascii="Times New Roman" w:hAnsi="Times New Roman" w:cs="Times New Roman"/>
          <w:sz w:val="24"/>
          <w:szCs w:val="24"/>
          <w:lang w:eastAsia="en-US"/>
        </w:rPr>
        <w:t>to</w:t>
      </w:r>
      <w:bookmarkEnd w:id="12"/>
      <w:r w:rsidRPr="00B63E94">
        <w:rPr>
          <w:rFonts w:ascii="Times New Roman" w:hAnsi="Times New Roman" w:cs="Times New Roman"/>
          <w:sz w:val="24"/>
          <w:szCs w:val="24"/>
          <w:lang w:eastAsia="en-US"/>
        </w:rPr>
        <w:t xml:space="preserve"> change society by opening it up to disabled people as a whole</w:t>
      </w:r>
      <w:bookmarkStart w:id="13" w:name="_VV71M"/>
      <w:r w:rsidRPr="00B63E94">
        <w:rPr>
          <w:rFonts w:ascii="Times New Roman" w:hAnsi="Times New Roman" w:cs="Times New Roman"/>
          <w:sz w:val="24"/>
          <w:szCs w:val="24"/>
          <w:lang w:eastAsia="en-US"/>
        </w:rPr>
        <w:t>.</w:t>
      </w:r>
      <w:bookmarkEnd w:id="13"/>
      <w:r w:rsidR="001D342B" w:rsidRPr="00B63E94">
        <w:rPr>
          <w:rStyle w:val="FootnoteReference"/>
          <w:rFonts w:ascii="Times New Roman" w:hAnsi="Times New Roman" w:cs="Times New Roman"/>
          <w:sz w:val="24"/>
          <w:szCs w:val="24"/>
          <w:lang w:eastAsia="en-US"/>
        </w:rPr>
        <w:footnoteReference w:id="50"/>
      </w:r>
    </w:p>
    <w:p w14:paraId="2A9E66F0" w14:textId="77777777" w:rsidR="00C14973" w:rsidRPr="00B63E94" w:rsidRDefault="0087137A"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 xml:space="preserve">Within the compensatory model, </w:t>
      </w:r>
      <w:r w:rsidR="001D342B" w:rsidRPr="00B63E94">
        <w:rPr>
          <w:rFonts w:ascii="Times New Roman" w:eastAsia="Times New Roman" w:hAnsi="Times New Roman" w:cs="Times New Roman"/>
          <w:sz w:val="24"/>
          <w:szCs w:val="24"/>
          <w:lang w:val="en-US" w:eastAsia="en-US"/>
        </w:rPr>
        <w:t xml:space="preserve">the </w:t>
      </w:r>
      <w:r w:rsidRPr="00B63E94">
        <w:rPr>
          <w:rFonts w:ascii="Times New Roman" w:eastAsia="Times New Roman" w:hAnsi="Times New Roman" w:cs="Times New Roman"/>
          <w:sz w:val="24"/>
          <w:szCs w:val="24"/>
          <w:lang w:val="en-US" w:eastAsia="en-US"/>
        </w:rPr>
        <w:t xml:space="preserve">provision </w:t>
      </w:r>
      <w:r w:rsidR="001D342B" w:rsidRPr="00B63E94">
        <w:rPr>
          <w:rFonts w:ascii="Times New Roman" w:eastAsia="Times New Roman" w:hAnsi="Times New Roman" w:cs="Times New Roman"/>
          <w:sz w:val="24"/>
          <w:szCs w:val="24"/>
          <w:lang w:val="en-US" w:eastAsia="en-US"/>
        </w:rPr>
        <w:t>of</w:t>
      </w:r>
      <w:r w:rsidRPr="00B63E94">
        <w:rPr>
          <w:rFonts w:ascii="Times New Roman" w:eastAsia="Times New Roman" w:hAnsi="Times New Roman" w:cs="Times New Roman"/>
          <w:sz w:val="24"/>
          <w:szCs w:val="24"/>
          <w:lang w:val="en-US" w:eastAsia="en-US"/>
        </w:rPr>
        <w:t xml:space="preserve"> ‘sheltered’ employment  in segregated workshops or ‘training centres’ </w:t>
      </w:r>
      <w:r w:rsidR="001D342B" w:rsidRPr="00B63E94">
        <w:rPr>
          <w:rFonts w:ascii="Times New Roman" w:eastAsia="Times New Roman" w:hAnsi="Times New Roman" w:cs="Times New Roman"/>
          <w:sz w:val="24"/>
          <w:szCs w:val="24"/>
          <w:lang w:val="en-US" w:eastAsia="en-US"/>
        </w:rPr>
        <w:t>was</w:t>
      </w:r>
      <w:r w:rsidRPr="00B63E94">
        <w:rPr>
          <w:rFonts w:ascii="Times New Roman" w:eastAsia="Times New Roman" w:hAnsi="Times New Roman" w:cs="Times New Roman"/>
          <w:sz w:val="24"/>
          <w:szCs w:val="24"/>
          <w:lang w:val="en-US" w:eastAsia="en-US"/>
        </w:rPr>
        <w:t xml:space="preserve"> commonplace </w:t>
      </w:r>
      <w:r w:rsidR="001D342B" w:rsidRPr="00B63E94">
        <w:rPr>
          <w:rFonts w:ascii="Times New Roman" w:eastAsia="Times New Roman" w:hAnsi="Times New Roman" w:cs="Times New Roman"/>
          <w:sz w:val="24"/>
          <w:szCs w:val="24"/>
          <w:lang w:val="en-US" w:eastAsia="en-US"/>
        </w:rPr>
        <w:t xml:space="preserve">in Europe </w:t>
      </w:r>
      <w:r w:rsidR="006B0B4C" w:rsidRPr="00B63E94">
        <w:rPr>
          <w:rFonts w:ascii="Times New Roman" w:eastAsia="Times New Roman" w:hAnsi="Times New Roman" w:cs="Times New Roman"/>
          <w:sz w:val="24"/>
          <w:szCs w:val="24"/>
          <w:lang w:val="en-US" w:eastAsia="en-US"/>
        </w:rPr>
        <w:t>after World War II</w:t>
      </w:r>
      <w:r w:rsidRPr="00B63E94">
        <w:rPr>
          <w:rFonts w:ascii="Times New Roman" w:eastAsia="Times New Roman" w:hAnsi="Times New Roman" w:cs="Times New Roman"/>
          <w:sz w:val="24"/>
          <w:szCs w:val="24"/>
          <w:lang w:val="en-US" w:eastAsia="en-US"/>
        </w:rPr>
        <w:t xml:space="preserve"> (</w:t>
      </w:r>
      <w:r w:rsidR="006B0B4C" w:rsidRPr="00B63E94">
        <w:rPr>
          <w:rFonts w:ascii="Times New Roman" w:eastAsia="Times New Roman" w:hAnsi="Times New Roman" w:cs="Times New Roman"/>
          <w:sz w:val="24"/>
          <w:szCs w:val="24"/>
          <w:lang w:val="en-US" w:eastAsia="en-US"/>
        </w:rPr>
        <w:t xml:space="preserve">sometimes </w:t>
      </w:r>
      <w:r w:rsidR="00050813" w:rsidRPr="00B63E94">
        <w:rPr>
          <w:rFonts w:ascii="Times New Roman" w:eastAsia="Times New Roman" w:hAnsi="Times New Roman" w:cs="Times New Roman"/>
          <w:sz w:val="24"/>
          <w:szCs w:val="24"/>
          <w:lang w:val="en-US" w:eastAsia="en-US"/>
        </w:rPr>
        <w:t>in the form of</w:t>
      </w:r>
      <w:r w:rsidR="006B0B4C"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compulsory </w:t>
      </w:r>
      <w:r w:rsidR="005578EC" w:rsidRPr="00B63E94">
        <w:rPr>
          <w:rFonts w:ascii="Times New Roman" w:eastAsia="Times New Roman" w:hAnsi="Times New Roman" w:cs="Times New Roman"/>
          <w:sz w:val="24"/>
          <w:szCs w:val="24"/>
          <w:lang w:val="en-US" w:eastAsia="en-US"/>
        </w:rPr>
        <w:t xml:space="preserve">work </w:t>
      </w:r>
      <w:r w:rsidRPr="00B63E94">
        <w:rPr>
          <w:rFonts w:ascii="Times New Roman" w:eastAsia="Times New Roman" w:hAnsi="Times New Roman" w:cs="Times New Roman"/>
          <w:sz w:val="24"/>
          <w:szCs w:val="24"/>
          <w:lang w:val="en-US" w:eastAsia="en-US"/>
        </w:rPr>
        <w:t xml:space="preserve">placement </w:t>
      </w:r>
      <w:r w:rsidR="00050813" w:rsidRPr="00B63E94">
        <w:rPr>
          <w:rFonts w:ascii="Times New Roman" w:eastAsia="Times New Roman" w:hAnsi="Times New Roman" w:cs="Times New Roman"/>
          <w:sz w:val="24"/>
          <w:szCs w:val="24"/>
          <w:lang w:val="en-US" w:eastAsia="en-US"/>
        </w:rPr>
        <w:t>for the purposes of</w:t>
      </w:r>
      <w:r w:rsidR="005578EC"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therapeutic intervention or </w:t>
      </w:r>
      <w:r w:rsidR="005578EC" w:rsidRPr="00B63E94">
        <w:rPr>
          <w:rFonts w:ascii="Times New Roman" w:eastAsia="Times New Roman" w:hAnsi="Times New Roman" w:cs="Times New Roman"/>
          <w:sz w:val="24"/>
          <w:szCs w:val="24"/>
          <w:lang w:val="en-US" w:eastAsia="en-US"/>
        </w:rPr>
        <w:t>rehabilitation programme</w:t>
      </w:r>
      <w:r w:rsidR="00050813" w:rsidRPr="00B63E94">
        <w:rPr>
          <w:rFonts w:ascii="Times New Roman" w:eastAsia="Times New Roman" w:hAnsi="Times New Roman" w:cs="Times New Roman"/>
          <w:sz w:val="24"/>
          <w:szCs w:val="24"/>
          <w:lang w:val="en-US" w:eastAsia="en-US"/>
        </w:rPr>
        <w:t xml:space="preserve"> rather than employment opportunity, </w:t>
      </w:r>
      <w:r w:rsidRPr="00B63E94">
        <w:rPr>
          <w:rFonts w:ascii="Times New Roman" w:eastAsia="Times New Roman" w:hAnsi="Times New Roman" w:cs="Times New Roman"/>
          <w:sz w:val="24"/>
          <w:szCs w:val="24"/>
          <w:lang w:val="en-US" w:eastAsia="en-US"/>
        </w:rPr>
        <w:t xml:space="preserve">or as a </w:t>
      </w:r>
      <w:r w:rsidR="005578EC" w:rsidRPr="00B63E94">
        <w:rPr>
          <w:rFonts w:ascii="Times New Roman" w:eastAsia="Times New Roman" w:hAnsi="Times New Roman" w:cs="Times New Roman"/>
          <w:sz w:val="24"/>
          <w:szCs w:val="24"/>
          <w:lang w:val="en-US" w:eastAsia="en-US"/>
        </w:rPr>
        <w:t>pre-</w:t>
      </w:r>
      <w:r w:rsidRPr="00B63E94">
        <w:rPr>
          <w:rFonts w:ascii="Times New Roman" w:eastAsia="Times New Roman" w:hAnsi="Times New Roman" w:cs="Times New Roman"/>
          <w:sz w:val="24"/>
          <w:szCs w:val="24"/>
          <w:lang w:val="en-US" w:eastAsia="en-US"/>
        </w:rPr>
        <w:t xml:space="preserve">condition of receiving disability-related </w:t>
      </w:r>
      <w:r w:rsidR="00050813" w:rsidRPr="00B63E94">
        <w:rPr>
          <w:rFonts w:ascii="Times New Roman" w:eastAsia="Times New Roman" w:hAnsi="Times New Roman" w:cs="Times New Roman"/>
          <w:sz w:val="24"/>
          <w:szCs w:val="24"/>
          <w:lang w:val="en-US" w:eastAsia="en-US"/>
        </w:rPr>
        <w:t xml:space="preserve">income </w:t>
      </w:r>
      <w:r w:rsidRPr="00B63E94">
        <w:rPr>
          <w:rFonts w:ascii="Times New Roman" w:eastAsia="Times New Roman" w:hAnsi="Times New Roman" w:cs="Times New Roman"/>
          <w:sz w:val="24"/>
          <w:szCs w:val="24"/>
          <w:lang w:val="en-US" w:eastAsia="en-US"/>
        </w:rPr>
        <w:t xml:space="preserve">benefits). </w:t>
      </w:r>
      <w:r w:rsidR="00866523" w:rsidRPr="00B63E94">
        <w:rPr>
          <w:rFonts w:ascii="Times New Roman" w:eastAsia="Times New Roman" w:hAnsi="Times New Roman" w:cs="Times New Roman"/>
          <w:sz w:val="24"/>
          <w:szCs w:val="24"/>
          <w:lang w:val="en-US" w:eastAsia="en-US"/>
        </w:rPr>
        <w:t xml:space="preserve">Sheltered employment persisted as a policy approach for some decades, and continues today in the repertoire of several advanced welfare economies, but as </w:t>
      </w:r>
      <w:r w:rsidR="00D349B9" w:rsidRPr="00B63E94">
        <w:rPr>
          <w:rFonts w:ascii="Times New Roman" w:eastAsia="Times New Roman" w:hAnsi="Times New Roman" w:cs="Times New Roman"/>
          <w:sz w:val="24"/>
          <w:szCs w:val="24"/>
          <w:lang w:val="en-US" w:eastAsia="en-US"/>
        </w:rPr>
        <w:t xml:space="preserve">the </w:t>
      </w:r>
      <w:r w:rsidR="00866523" w:rsidRPr="00B63E94">
        <w:rPr>
          <w:rFonts w:ascii="Times New Roman" w:eastAsia="Times New Roman" w:hAnsi="Times New Roman" w:cs="Times New Roman"/>
          <w:sz w:val="24"/>
          <w:szCs w:val="24"/>
          <w:lang w:val="en-US" w:eastAsia="en-US"/>
        </w:rPr>
        <w:t xml:space="preserve">post-war </w:t>
      </w:r>
      <w:r w:rsidR="00D349B9" w:rsidRPr="00B63E94">
        <w:rPr>
          <w:rFonts w:ascii="Times New Roman" w:eastAsia="Times New Roman" w:hAnsi="Times New Roman" w:cs="Times New Roman"/>
          <w:sz w:val="24"/>
          <w:szCs w:val="24"/>
          <w:lang w:val="en-US" w:eastAsia="en-US"/>
        </w:rPr>
        <w:t xml:space="preserve">rehabilitation paradigm was transcended by the </w:t>
      </w:r>
      <w:r w:rsidR="00050813" w:rsidRPr="00B63E94">
        <w:rPr>
          <w:rFonts w:ascii="Times New Roman" w:eastAsia="Times New Roman" w:hAnsi="Times New Roman" w:cs="Times New Roman"/>
          <w:sz w:val="24"/>
          <w:szCs w:val="24"/>
          <w:lang w:val="en-US" w:eastAsia="en-US"/>
        </w:rPr>
        <w:t xml:space="preserve">equal </w:t>
      </w:r>
      <w:r w:rsidR="00D349B9" w:rsidRPr="00B63E94">
        <w:rPr>
          <w:rFonts w:ascii="Times New Roman" w:eastAsia="Times New Roman" w:hAnsi="Times New Roman" w:cs="Times New Roman"/>
          <w:sz w:val="24"/>
          <w:szCs w:val="24"/>
          <w:lang w:val="en-US" w:eastAsia="en-US"/>
        </w:rPr>
        <w:t>opportunities paradigm there was a notable shift from sheltered employment policies towards</w:t>
      </w:r>
      <w:r w:rsidRPr="00B63E94">
        <w:rPr>
          <w:rFonts w:ascii="Times New Roman" w:eastAsia="Times New Roman" w:hAnsi="Times New Roman" w:cs="Times New Roman"/>
          <w:sz w:val="24"/>
          <w:szCs w:val="24"/>
          <w:lang w:val="en-US" w:eastAsia="en-US"/>
        </w:rPr>
        <w:t xml:space="preserve"> ‘supported’ placements </w:t>
      </w:r>
      <w:r w:rsidR="00866523" w:rsidRPr="00B63E94">
        <w:rPr>
          <w:rFonts w:ascii="Times New Roman" w:eastAsia="Times New Roman" w:hAnsi="Times New Roman" w:cs="Times New Roman"/>
          <w:sz w:val="24"/>
          <w:szCs w:val="24"/>
          <w:lang w:val="en-US" w:eastAsia="en-US"/>
        </w:rPr>
        <w:t>in</w:t>
      </w:r>
      <w:r w:rsidRPr="00B63E94">
        <w:rPr>
          <w:rFonts w:ascii="Times New Roman" w:eastAsia="Times New Roman" w:hAnsi="Times New Roman" w:cs="Times New Roman"/>
          <w:sz w:val="24"/>
          <w:szCs w:val="24"/>
          <w:lang w:val="en-US" w:eastAsia="en-US"/>
        </w:rPr>
        <w:t xml:space="preserve"> mainstream</w:t>
      </w:r>
      <w:r w:rsidR="00866523" w:rsidRPr="00B63E94">
        <w:rPr>
          <w:rFonts w:ascii="Times New Roman" w:eastAsia="Times New Roman" w:hAnsi="Times New Roman" w:cs="Times New Roman"/>
          <w:sz w:val="24"/>
          <w:szCs w:val="24"/>
          <w:lang w:val="en-US" w:eastAsia="en-US"/>
        </w:rPr>
        <w:t xml:space="preserve"> employment</w:t>
      </w:r>
      <w:r w:rsidRPr="00B63E94">
        <w:rPr>
          <w:rFonts w:ascii="Times New Roman" w:eastAsia="Times New Roman" w:hAnsi="Times New Roman" w:cs="Times New Roman"/>
          <w:sz w:val="24"/>
          <w:szCs w:val="24"/>
          <w:lang w:val="en-US" w:eastAsia="en-US"/>
        </w:rPr>
        <w:t xml:space="preserve"> settings. Great optimism surrounded the development of supported employment and there was rapid growth </w:t>
      </w:r>
      <w:r w:rsidR="00F743DA" w:rsidRPr="00B63E94">
        <w:rPr>
          <w:rFonts w:ascii="Times New Roman" w:eastAsia="Times New Roman" w:hAnsi="Times New Roman" w:cs="Times New Roman"/>
          <w:sz w:val="24"/>
          <w:szCs w:val="24"/>
          <w:lang w:val="en-US" w:eastAsia="en-US"/>
        </w:rPr>
        <w:t xml:space="preserve">in this form of employment </w:t>
      </w:r>
      <w:r w:rsidRPr="00B63E94">
        <w:rPr>
          <w:rFonts w:ascii="Times New Roman" w:eastAsia="Times New Roman" w:hAnsi="Times New Roman" w:cs="Times New Roman"/>
          <w:sz w:val="24"/>
          <w:szCs w:val="24"/>
          <w:lang w:val="en-US" w:eastAsia="en-US"/>
        </w:rPr>
        <w:t>from the mid 1980s, particularly in North America</w:t>
      </w:r>
      <w:r w:rsidR="001D342B" w:rsidRPr="00B63E94">
        <w:rPr>
          <w:rFonts w:ascii="Times New Roman" w:eastAsia="Times New Roman" w:hAnsi="Times New Roman" w:cs="Times New Roman"/>
          <w:sz w:val="24"/>
          <w:szCs w:val="24"/>
          <w:lang w:val="en-US" w:eastAsia="en-US"/>
        </w:rPr>
        <w:t>.</w:t>
      </w:r>
      <w:r w:rsidR="001D342B" w:rsidRPr="00B63E94">
        <w:rPr>
          <w:rStyle w:val="FootnoteReference"/>
          <w:rFonts w:ascii="Times New Roman" w:eastAsia="Times New Roman" w:hAnsi="Times New Roman" w:cs="Times New Roman"/>
          <w:sz w:val="24"/>
          <w:szCs w:val="24"/>
          <w:lang w:val="en-US" w:eastAsia="en-US"/>
        </w:rPr>
        <w:footnoteReference w:id="51"/>
      </w:r>
      <w:r w:rsidRPr="00B63E94">
        <w:rPr>
          <w:rFonts w:ascii="Times New Roman" w:eastAsia="Times New Roman" w:hAnsi="Times New Roman" w:cs="Times New Roman"/>
          <w:sz w:val="24"/>
          <w:szCs w:val="24"/>
          <w:lang w:val="en-US" w:eastAsia="en-US"/>
        </w:rPr>
        <w:t xml:space="preserve"> Although supported employment and training </w:t>
      </w:r>
      <w:r w:rsidR="00ED2038" w:rsidRPr="00B63E94">
        <w:rPr>
          <w:rFonts w:ascii="Times New Roman" w:eastAsia="Times New Roman" w:hAnsi="Times New Roman" w:cs="Times New Roman"/>
          <w:sz w:val="24"/>
          <w:szCs w:val="24"/>
          <w:lang w:val="en-US" w:eastAsia="en-US"/>
        </w:rPr>
        <w:t>w</w:t>
      </w:r>
      <w:r w:rsidR="001D342B" w:rsidRPr="00B63E94">
        <w:rPr>
          <w:rFonts w:ascii="Times New Roman" w:eastAsia="Times New Roman" w:hAnsi="Times New Roman" w:cs="Times New Roman"/>
          <w:sz w:val="24"/>
          <w:szCs w:val="24"/>
          <w:lang w:val="en-US" w:eastAsia="en-US"/>
        </w:rPr>
        <w:t>ere</w:t>
      </w:r>
      <w:r w:rsidRPr="00B63E94">
        <w:rPr>
          <w:rFonts w:ascii="Times New Roman" w:eastAsia="Times New Roman" w:hAnsi="Times New Roman" w:cs="Times New Roman"/>
          <w:sz w:val="24"/>
          <w:szCs w:val="24"/>
          <w:lang w:val="en-US" w:eastAsia="en-US"/>
        </w:rPr>
        <w:t xml:space="preserve"> not always seen as ‘real work’,</w:t>
      </w:r>
      <w:r w:rsidR="001D342B" w:rsidRPr="00B63E94">
        <w:rPr>
          <w:rStyle w:val="FootnoteReference"/>
          <w:rFonts w:ascii="Times New Roman" w:eastAsia="Times New Roman" w:hAnsi="Times New Roman" w:cs="Times New Roman"/>
          <w:sz w:val="24"/>
          <w:szCs w:val="24"/>
          <w:lang w:val="en-US" w:eastAsia="en-US"/>
        </w:rPr>
        <w:footnoteReference w:id="52"/>
      </w:r>
      <w:r w:rsidRPr="00B63E94">
        <w:rPr>
          <w:rFonts w:ascii="Times New Roman" w:eastAsia="Times New Roman" w:hAnsi="Times New Roman" w:cs="Times New Roman"/>
          <w:sz w:val="24"/>
          <w:szCs w:val="24"/>
          <w:lang w:val="en-US" w:eastAsia="en-US"/>
        </w:rPr>
        <w:t xml:space="preserve"> </w:t>
      </w:r>
      <w:r w:rsidR="00ED2038" w:rsidRPr="00B63E94">
        <w:rPr>
          <w:rFonts w:ascii="Times New Roman" w:eastAsia="Times New Roman" w:hAnsi="Times New Roman" w:cs="Times New Roman"/>
          <w:sz w:val="24"/>
          <w:szCs w:val="24"/>
          <w:lang w:val="en-US" w:eastAsia="en-US"/>
        </w:rPr>
        <w:t>as</w:t>
      </w:r>
      <w:r w:rsidRPr="00B63E94">
        <w:rPr>
          <w:rFonts w:ascii="Times New Roman" w:eastAsia="Times New Roman" w:hAnsi="Times New Roman" w:cs="Times New Roman"/>
          <w:sz w:val="24"/>
          <w:szCs w:val="24"/>
          <w:lang w:val="en-US" w:eastAsia="en-US"/>
        </w:rPr>
        <w:t xml:space="preserve"> ‘socially valid’</w:t>
      </w:r>
      <w:r w:rsidR="001D342B" w:rsidRPr="00B63E94">
        <w:rPr>
          <w:rFonts w:ascii="Times New Roman" w:eastAsia="Times New Roman" w:hAnsi="Times New Roman" w:cs="Times New Roman"/>
          <w:sz w:val="24"/>
          <w:szCs w:val="24"/>
          <w:lang w:val="en-US" w:eastAsia="en-US"/>
        </w:rPr>
        <w:t>,</w:t>
      </w:r>
      <w:r w:rsidR="001D342B" w:rsidRPr="00B63E94">
        <w:rPr>
          <w:rStyle w:val="FootnoteReference"/>
          <w:rFonts w:ascii="Times New Roman" w:eastAsia="Times New Roman" w:hAnsi="Times New Roman" w:cs="Times New Roman"/>
          <w:sz w:val="24"/>
          <w:szCs w:val="24"/>
          <w:lang w:val="en-US" w:eastAsia="en-US"/>
        </w:rPr>
        <w:footnoteReference w:id="53"/>
      </w:r>
      <w:r w:rsidRPr="00B63E94">
        <w:rPr>
          <w:rFonts w:ascii="Times New Roman" w:eastAsia="Times New Roman" w:hAnsi="Times New Roman" w:cs="Times New Roman"/>
          <w:sz w:val="24"/>
          <w:szCs w:val="24"/>
          <w:lang w:val="en-US" w:eastAsia="en-US"/>
        </w:rPr>
        <w:t xml:space="preserve">  or as ‘cost-effective’,</w:t>
      </w:r>
      <w:r w:rsidR="001D342B" w:rsidRPr="00B63E94">
        <w:rPr>
          <w:rStyle w:val="FootnoteReference"/>
          <w:rFonts w:ascii="Times New Roman" w:eastAsia="Times New Roman" w:hAnsi="Times New Roman" w:cs="Times New Roman"/>
          <w:sz w:val="24"/>
          <w:szCs w:val="24"/>
          <w:lang w:val="en-US" w:eastAsia="en-US"/>
        </w:rPr>
        <w:footnoteReference w:id="54"/>
      </w:r>
      <w:r w:rsidRPr="00B63E94">
        <w:rPr>
          <w:rFonts w:ascii="Times New Roman" w:eastAsia="Times New Roman" w:hAnsi="Times New Roman" w:cs="Times New Roman"/>
          <w:sz w:val="24"/>
          <w:szCs w:val="24"/>
          <w:lang w:val="en-US" w:eastAsia="en-US"/>
        </w:rPr>
        <w:t xml:space="preserve"> there </w:t>
      </w:r>
      <w:r w:rsidR="00ED2038" w:rsidRPr="00B63E94">
        <w:rPr>
          <w:rFonts w:ascii="Times New Roman" w:eastAsia="Times New Roman" w:hAnsi="Times New Roman" w:cs="Times New Roman"/>
          <w:sz w:val="24"/>
          <w:szCs w:val="24"/>
          <w:lang w:val="en-US" w:eastAsia="en-US"/>
        </w:rPr>
        <w:t>were</w:t>
      </w:r>
      <w:r w:rsidRPr="00B63E94">
        <w:rPr>
          <w:rFonts w:ascii="Times New Roman" w:eastAsia="Times New Roman" w:hAnsi="Times New Roman" w:cs="Times New Roman"/>
          <w:sz w:val="24"/>
          <w:szCs w:val="24"/>
          <w:lang w:val="en-US" w:eastAsia="en-US"/>
        </w:rPr>
        <w:t xml:space="preserve"> positive outcomes for disabled people</w:t>
      </w:r>
      <w:r w:rsidR="00ED2038" w:rsidRPr="00B63E94">
        <w:rPr>
          <w:rFonts w:ascii="Times New Roman" w:eastAsia="Times New Roman" w:hAnsi="Times New Roman" w:cs="Times New Roman"/>
          <w:sz w:val="24"/>
          <w:szCs w:val="24"/>
          <w:lang w:val="en-US" w:eastAsia="en-US"/>
        </w:rPr>
        <w:t>.</w:t>
      </w:r>
      <w:r w:rsidR="001D342B" w:rsidRPr="00B63E94">
        <w:rPr>
          <w:rStyle w:val="FootnoteReference"/>
          <w:rFonts w:ascii="Times New Roman" w:eastAsia="Times New Roman" w:hAnsi="Times New Roman" w:cs="Times New Roman"/>
          <w:sz w:val="24"/>
          <w:szCs w:val="24"/>
          <w:lang w:val="en-US" w:eastAsia="en-US"/>
        </w:rPr>
        <w:footnoteReference w:id="55"/>
      </w:r>
      <w:r w:rsidR="00ED2038" w:rsidRPr="00B63E94">
        <w:rPr>
          <w:rFonts w:ascii="Times New Roman" w:eastAsia="Times New Roman" w:hAnsi="Times New Roman" w:cs="Times New Roman"/>
          <w:sz w:val="24"/>
          <w:szCs w:val="24"/>
          <w:lang w:val="en-US" w:eastAsia="en-US"/>
        </w:rPr>
        <w:t xml:space="preserve"> </w:t>
      </w:r>
    </w:p>
    <w:p w14:paraId="19DFC9E6" w14:textId="77777777" w:rsidR="0087137A" w:rsidRPr="00B63E94" w:rsidRDefault="00ED2038"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lastRenderedPageBreak/>
        <w:t xml:space="preserve">While policy evaluations tended to </w:t>
      </w:r>
      <w:r w:rsidR="0087137A" w:rsidRPr="00B63E94">
        <w:rPr>
          <w:rFonts w:ascii="Times New Roman" w:eastAsia="Times New Roman" w:hAnsi="Times New Roman" w:cs="Times New Roman"/>
          <w:sz w:val="24"/>
          <w:szCs w:val="24"/>
          <w:lang w:val="en-US" w:eastAsia="en-US"/>
        </w:rPr>
        <w:t>focus on the technical merits of sheltered versus supported employment</w:t>
      </w:r>
      <w:r w:rsidR="001D342B" w:rsidRPr="00B63E94">
        <w:rPr>
          <w:rFonts w:ascii="Times New Roman" w:eastAsia="Times New Roman" w:hAnsi="Times New Roman" w:cs="Times New Roman"/>
          <w:sz w:val="24"/>
          <w:szCs w:val="24"/>
          <w:lang w:val="en-US" w:eastAsia="en-US"/>
        </w:rPr>
        <w:t>,</w:t>
      </w:r>
      <w:r w:rsidRPr="00B63E94">
        <w:rPr>
          <w:rFonts w:ascii="Times New Roman" w:eastAsia="Times New Roman" w:hAnsi="Times New Roman" w:cs="Times New Roman"/>
          <w:sz w:val="24"/>
          <w:szCs w:val="24"/>
          <w:lang w:val="en-US" w:eastAsia="en-US"/>
        </w:rPr>
        <w:t xml:space="preserve"> </w:t>
      </w:r>
      <w:r w:rsidR="0087137A" w:rsidRPr="00B63E94">
        <w:rPr>
          <w:rFonts w:ascii="Times New Roman" w:eastAsia="Times New Roman" w:hAnsi="Times New Roman" w:cs="Times New Roman"/>
          <w:sz w:val="24"/>
          <w:szCs w:val="24"/>
          <w:lang w:val="en-US" w:eastAsia="en-US"/>
        </w:rPr>
        <w:t xml:space="preserve">the </w:t>
      </w:r>
      <w:r w:rsidRPr="00B63E94">
        <w:rPr>
          <w:rFonts w:ascii="Times New Roman" w:eastAsia="Times New Roman" w:hAnsi="Times New Roman" w:cs="Times New Roman"/>
          <w:sz w:val="24"/>
          <w:szCs w:val="24"/>
          <w:lang w:val="en-US" w:eastAsia="en-US"/>
        </w:rPr>
        <w:t xml:space="preserve">wider </w:t>
      </w:r>
      <w:r w:rsidR="0087137A" w:rsidRPr="00B63E94">
        <w:rPr>
          <w:rFonts w:ascii="Times New Roman" w:eastAsia="Times New Roman" w:hAnsi="Times New Roman" w:cs="Times New Roman"/>
          <w:sz w:val="24"/>
          <w:szCs w:val="24"/>
          <w:lang w:val="en-US" w:eastAsia="en-US"/>
        </w:rPr>
        <w:t xml:space="preserve">policy </w:t>
      </w:r>
      <w:r w:rsidR="00AD500B" w:rsidRPr="00B63E94">
        <w:rPr>
          <w:rFonts w:ascii="Times New Roman" w:eastAsia="Times New Roman" w:hAnsi="Times New Roman" w:cs="Times New Roman"/>
          <w:sz w:val="24"/>
          <w:szCs w:val="24"/>
          <w:lang w:val="en-US" w:eastAsia="en-US"/>
        </w:rPr>
        <w:t xml:space="preserve">shift </w:t>
      </w:r>
      <w:r w:rsidR="0087137A" w:rsidRPr="00B63E94">
        <w:rPr>
          <w:rFonts w:ascii="Times New Roman" w:eastAsia="Times New Roman" w:hAnsi="Times New Roman" w:cs="Times New Roman"/>
          <w:sz w:val="24"/>
          <w:szCs w:val="24"/>
          <w:lang w:val="en-US" w:eastAsia="en-US"/>
        </w:rPr>
        <w:t xml:space="preserve">from segregated to mainstream employment </w:t>
      </w:r>
      <w:r w:rsidRPr="00B63E94">
        <w:rPr>
          <w:rFonts w:ascii="Times New Roman" w:eastAsia="Times New Roman" w:hAnsi="Times New Roman" w:cs="Times New Roman"/>
          <w:sz w:val="24"/>
          <w:szCs w:val="24"/>
          <w:lang w:val="en-US" w:eastAsia="en-US"/>
        </w:rPr>
        <w:t>was a significant force for change in</w:t>
      </w:r>
      <w:r w:rsidR="0087137A" w:rsidRPr="00B63E94">
        <w:rPr>
          <w:rFonts w:ascii="Times New Roman" w:eastAsia="Times New Roman" w:hAnsi="Times New Roman" w:cs="Times New Roman"/>
          <w:sz w:val="24"/>
          <w:szCs w:val="24"/>
          <w:lang w:val="en-US" w:eastAsia="en-US"/>
        </w:rPr>
        <w:t xml:space="preserve"> thinking and practice. </w:t>
      </w:r>
      <w:r w:rsidR="00C14973" w:rsidRPr="00B63E94">
        <w:rPr>
          <w:rFonts w:ascii="Times New Roman" w:eastAsia="Times New Roman" w:hAnsi="Times New Roman" w:cs="Times New Roman"/>
          <w:sz w:val="24"/>
          <w:szCs w:val="24"/>
          <w:lang w:val="en-US" w:eastAsia="en-US"/>
        </w:rPr>
        <w:t>At the same time</w:t>
      </w:r>
      <w:r w:rsidR="001D342B" w:rsidRPr="00B63E94">
        <w:rPr>
          <w:rFonts w:ascii="Times New Roman" w:eastAsia="Times New Roman" w:hAnsi="Times New Roman" w:cs="Times New Roman"/>
          <w:sz w:val="24"/>
          <w:szCs w:val="24"/>
          <w:lang w:val="en-US" w:eastAsia="en-US"/>
        </w:rPr>
        <w:t>,</w:t>
      </w:r>
      <w:r w:rsidR="00C14973" w:rsidRPr="00B63E94">
        <w:rPr>
          <w:rFonts w:ascii="Times New Roman" w:eastAsia="Times New Roman" w:hAnsi="Times New Roman" w:cs="Times New Roman"/>
          <w:sz w:val="24"/>
          <w:szCs w:val="24"/>
          <w:lang w:val="en-US" w:eastAsia="en-US"/>
        </w:rPr>
        <w:t xml:space="preserve"> there were some concerns that a shift of emphasis towards rights-based legislation and mainstream jobs might not be sufficient to ensure the reali</w:t>
      </w:r>
      <w:r w:rsidR="001D342B" w:rsidRPr="00B63E94">
        <w:rPr>
          <w:rFonts w:ascii="Times New Roman" w:eastAsia="Times New Roman" w:hAnsi="Times New Roman" w:cs="Times New Roman"/>
          <w:sz w:val="24"/>
          <w:szCs w:val="24"/>
          <w:lang w:val="en-US" w:eastAsia="en-US"/>
        </w:rPr>
        <w:t>s</w:t>
      </w:r>
      <w:r w:rsidR="00C14973" w:rsidRPr="00B63E94">
        <w:rPr>
          <w:rFonts w:ascii="Times New Roman" w:eastAsia="Times New Roman" w:hAnsi="Times New Roman" w:cs="Times New Roman"/>
          <w:sz w:val="24"/>
          <w:szCs w:val="24"/>
          <w:lang w:val="en-US" w:eastAsia="en-US"/>
        </w:rPr>
        <w:t>ation of equal rights in practice. For example, r</w:t>
      </w:r>
      <w:r w:rsidR="0087137A" w:rsidRPr="00B63E94">
        <w:rPr>
          <w:rFonts w:ascii="Times New Roman" w:eastAsia="Times New Roman" w:hAnsi="Times New Roman" w:cs="Times New Roman"/>
          <w:sz w:val="24"/>
          <w:szCs w:val="24"/>
          <w:lang w:val="en-US" w:eastAsia="en-US"/>
        </w:rPr>
        <w:t>eviewing the British Government's Supported Employment Programme</w:t>
      </w:r>
      <w:bookmarkStart w:id="14" w:name="_VV370M"/>
      <w:r w:rsidR="005C2BE1" w:rsidRPr="00B63E94">
        <w:rPr>
          <w:rFonts w:ascii="Times New Roman" w:eastAsia="Times New Roman" w:hAnsi="Times New Roman" w:cs="Times New Roman"/>
          <w:sz w:val="24"/>
          <w:szCs w:val="24"/>
          <w:lang w:val="en-US" w:eastAsia="en-US"/>
        </w:rPr>
        <w:t xml:space="preserve"> in 1998</w:t>
      </w:r>
      <w:r w:rsidRPr="00B63E94">
        <w:rPr>
          <w:rFonts w:ascii="Times New Roman" w:eastAsia="Times New Roman" w:hAnsi="Times New Roman" w:cs="Times New Roman"/>
          <w:sz w:val="24"/>
          <w:szCs w:val="24"/>
          <w:lang w:val="en-US" w:eastAsia="en-US"/>
        </w:rPr>
        <w:t xml:space="preserve">, Hyde  </w:t>
      </w:r>
      <w:bookmarkEnd w:id="14"/>
      <w:r w:rsidR="0087137A" w:rsidRPr="00B63E94">
        <w:rPr>
          <w:rFonts w:ascii="Times New Roman" w:eastAsia="Times New Roman" w:hAnsi="Times New Roman" w:cs="Times New Roman"/>
          <w:sz w:val="24"/>
          <w:szCs w:val="24"/>
          <w:lang w:val="en-US" w:eastAsia="en-US"/>
        </w:rPr>
        <w:t>conclude</w:t>
      </w:r>
      <w:r w:rsidR="00C14973" w:rsidRPr="00B63E94">
        <w:rPr>
          <w:rFonts w:ascii="Times New Roman" w:eastAsia="Times New Roman" w:hAnsi="Times New Roman" w:cs="Times New Roman"/>
          <w:sz w:val="24"/>
          <w:szCs w:val="24"/>
          <w:lang w:val="en-US" w:eastAsia="en-US"/>
        </w:rPr>
        <w:t>d</w:t>
      </w:r>
      <w:r w:rsidR="0087137A" w:rsidRPr="00B63E94">
        <w:rPr>
          <w:rFonts w:ascii="Times New Roman" w:eastAsia="Times New Roman" w:hAnsi="Times New Roman" w:cs="Times New Roman"/>
          <w:sz w:val="24"/>
          <w:szCs w:val="24"/>
          <w:lang w:val="en-US" w:eastAsia="en-US"/>
        </w:rPr>
        <w:t xml:space="preserve"> that </w:t>
      </w:r>
      <w:r w:rsidR="00C14973" w:rsidRPr="00B63E94">
        <w:rPr>
          <w:rFonts w:ascii="Times New Roman" w:eastAsia="Times New Roman" w:hAnsi="Times New Roman" w:cs="Times New Roman"/>
          <w:sz w:val="24"/>
          <w:szCs w:val="24"/>
          <w:lang w:val="en-US" w:eastAsia="en-US"/>
        </w:rPr>
        <w:t>new</w:t>
      </w:r>
      <w:r w:rsidR="0087137A" w:rsidRPr="00B63E94">
        <w:rPr>
          <w:rFonts w:ascii="Times New Roman" w:eastAsia="Times New Roman" w:hAnsi="Times New Roman" w:cs="Times New Roman"/>
          <w:sz w:val="24"/>
          <w:szCs w:val="24"/>
          <w:lang w:val="en-US" w:eastAsia="en-US"/>
        </w:rPr>
        <w:t xml:space="preserve"> policies adopted during the 1980s and 1990s </w:t>
      </w:r>
      <w:bookmarkStart w:id="15" w:name="_VV405"/>
      <w:r w:rsidR="00C14973" w:rsidRPr="00B63E94">
        <w:rPr>
          <w:rFonts w:ascii="Times New Roman" w:eastAsia="Times New Roman" w:hAnsi="Times New Roman" w:cs="Times New Roman"/>
          <w:sz w:val="24"/>
          <w:szCs w:val="24"/>
          <w:lang w:val="en-US" w:eastAsia="en-US"/>
        </w:rPr>
        <w:t xml:space="preserve">were more </w:t>
      </w:r>
      <w:bookmarkEnd w:id="15"/>
      <w:r w:rsidR="00C14973" w:rsidRPr="00B63E94">
        <w:rPr>
          <w:rFonts w:ascii="Times New Roman" w:eastAsia="Times New Roman" w:hAnsi="Times New Roman" w:cs="Times New Roman"/>
          <w:sz w:val="24"/>
          <w:szCs w:val="24"/>
          <w:lang w:val="en-US" w:eastAsia="en-US"/>
        </w:rPr>
        <w:t>a</w:t>
      </w:r>
      <w:r w:rsidR="0087137A" w:rsidRPr="00B63E94">
        <w:rPr>
          <w:rFonts w:ascii="Times New Roman" w:eastAsia="Times New Roman" w:hAnsi="Times New Roman" w:cs="Times New Roman"/>
          <w:sz w:val="24"/>
          <w:szCs w:val="24"/>
          <w:lang w:val="en-US" w:eastAsia="en-US"/>
        </w:rPr>
        <w:t xml:space="preserve"> response to employer interests than </w:t>
      </w:r>
      <w:r w:rsidR="00C14973" w:rsidRPr="00B63E94">
        <w:rPr>
          <w:rFonts w:ascii="Times New Roman" w:eastAsia="Times New Roman" w:hAnsi="Times New Roman" w:cs="Times New Roman"/>
          <w:sz w:val="24"/>
          <w:szCs w:val="24"/>
          <w:lang w:val="en-US" w:eastAsia="en-US"/>
        </w:rPr>
        <w:t xml:space="preserve">to </w:t>
      </w:r>
      <w:r w:rsidR="0087137A" w:rsidRPr="00B63E94">
        <w:rPr>
          <w:rFonts w:ascii="Times New Roman" w:eastAsia="Times New Roman" w:hAnsi="Times New Roman" w:cs="Times New Roman"/>
          <w:sz w:val="24"/>
          <w:szCs w:val="24"/>
          <w:lang w:val="en-US" w:eastAsia="en-US"/>
        </w:rPr>
        <w:t>th</w:t>
      </w:r>
      <w:r w:rsidR="005C2BE1" w:rsidRPr="00B63E94">
        <w:rPr>
          <w:rFonts w:ascii="Times New Roman" w:eastAsia="Times New Roman" w:hAnsi="Times New Roman" w:cs="Times New Roman"/>
          <w:sz w:val="24"/>
          <w:szCs w:val="24"/>
          <w:lang w:val="en-US" w:eastAsia="en-US"/>
        </w:rPr>
        <w:t>e interests</w:t>
      </w:r>
      <w:r w:rsidR="0087137A" w:rsidRPr="00B63E94">
        <w:rPr>
          <w:rFonts w:ascii="Times New Roman" w:eastAsia="Times New Roman" w:hAnsi="Times New Roman" w:cs="Times New Roman"/>
          <w:sz w:val="24"/>
          <w:szCs w:val="24"/>
          <w:lang w:val="en-US" w:eastAsia="en-US"/>
        </w:rPr>
        <w:t xml:space="preserve"> of disabled </w:t>
      </w:r>
      <w:bookmarkStart w:id="16" w:name="_VV413"/>
      <w:r w:rsidR="0087137A" w:rsidRPr="00B63E94">
        <w:rPr>
          <w:rFonts w:ascii="Times New Roman" w:eastAsia="Times New Roman" w:hAnsi="Times New Roman" w:cs="Times New Roman"/>
          <w:sz w:val="24"/>
          <w:szCs w:val="24"/>
          <w:lang w:val="en-US" w:eastAsia="en-US"/>
        </w:rPr>
        <w:t>people</w:t>
      </w:r>
      <w:bookmarkStart w:id="17" w:name="_VV414M"/>
      <w:bookmarkEnd w:id="16"/>
      <w:r w:rsidR="00C14973" w:rsidRPr="00B63E94">
        <w:rPr>
          <w:rFonts w:ascii="Times New Roman" w:eastAsia="Times New Roman" w:hAnsi="Times New Roman" w:cs="Times New Roman"/>
          <w:sz w:val="24"/>
          <w:szCs w:val="24"/>
          <w:lang w:val="en-US" w:eastAsia="en-US"/>
        </w:rPr>
        <w:t xml:space="preserve"> and </w:t>
      </w:r>
      <w:bookmarkEnd w:id="17"/>
      <w:r w:rsidR="00C14973" w:rsidRPr="00B63E94">
        <w:rPr>
          <w:rFonts w:ascii="Times New Roman" w:eastAsia="Times New Roman" w:hAnsi="Times New Roman" w:cs="Times New Roman"/>
          <w:sz w:val="24"/>
          <w:szCs w:val="24"/>
          <w:lang w:val="en-US" w:eastAsia="en-US"/>
        </w:rPr>
        <w:t xml:space="preserve">that </w:t>
      </w:r>
      <w:r w:rsidR="0087137A" w:rsidRPr="00B63E94">
        <w:rPr>
          <w:rFonts w:ascii="Times New Roman" w:eastAsia="Times New Roman" w:hAnsi="Times New Roman" w:cs="Times New Roman"/>
          <w:sz w:val="24"/>
          <w:szCs w:val="24"/>
          <w:lang w:val="en-US" w:eastAsia="en-US"/>
        </w:rPr>
        <w:t xml:space="preserve">market deregulation </w:t>
      </w:r>
      <w:r w:rsidR="00C14973" w:rsidRPr="00B63E94">
        <w:rPr>
          <w:rFonts w:ascii="Times New Roman" w:eastAsia="Times New Roman" w:hAnsi="Times New Roman" w:cs="Times New Roman"/>
          <w:sz w:val="24"/>
          <w:szCs w:val="24"/>
          <w:lang w:val="en-US" w:eastAsia="en-US"/>
        </w:rPr>
        <w:t>risked abandoning</w:t>
      </w:r>
      <w:r w:rsidR="0087137A" w:rsidRPr="00B63E94">
        <w:rPr>
          <w:rFonts w:ascii="Times New Roman" w:eastAsia="Times New Roman" w:hAnsi="Times New Roman" w:cs="Times New Roman"/>
          <w:sz w:val="24"/>
          <w:szCs w:val="24"/>
          <w:lang w:val="en-US" w:eastAsia="en-US"/>
        </w:rPr>
        <w:t xml:space="preserve"> </w:t>
      </w:r>
      <w:r w:rsidR="001D342B" w:rsidRPr="00B63E94">
        <w:rPr>
          <w:rFonts w:ascii="Times New Roman" w:eastAsia="Times New Roman" w:hAnsi="Times New Roman" w:cs="Times New Roman"/>
          <w:sz w:val="24"/>
          <w:szCs w:val="24"/>
          <w:lang w:val="en-US" w:eastAsia="en-US"/>
        </w:rPr>
        <w:t>disabled people</w:t>
      </w:r>
      <w:r w:rsidR="0087137A" w:rsidRPr="00B63E94">
        <w:rPr>
          <w:rFonts w:ascii="Times New Roman" w:eastAsia="Times New Roman" w:hAnsi="Times New Roman" w:cs="Times New Roman"/>
          <w:sz w:val="24"/>
          <w:szCs w:val="24"/>
          <w:lang w:val="en-US" w:eastAsia="en-US"/>
        </w:rPr>
        <w:t xml:space="preserve"> </w:t>
      </w:r>
      <w:r w:rsidR="00C14973" w:rsidRPr="00B63E94">
        <w:rPr>
          <w:rFonts w:ascii="Times New Roman" w:eastAsia="Times New Roman" w:hAnsi="Times New Roman" w:cs="Times New Roman"/>
          <w:sz w:val="24"/>
          <w:szCs w:val="24"/>
          <w:lang w:val="en-US" w:eastAsia="en-US"/>
        </w:rPr>
        <w:t>to</w:t>
      </w:r>
      <w:r w:rsidR="0087137A" w:rsidRPr="00B63E94">
        <w:rPr>
          <w:rFonts w:ascii="Times New Roman" w:eastAsia="Times New Roman" w:hAnsi="Times New Roman" w:cs="Times New Roman"/>
          <w:sz w:val="24"/>
          <w:szCs w:val="24"/>
          <w:lang w:val="en-US" w:eastAsia="en-US"/>
        </w:rPr>
        <w:t xml:space="preserve"> the disabling social relations </w:t>
      </w:r>
      <w:bookmarkStart w:id="18" w:name="_VV477M"/>
      <w:r w:rsidR="0087137A" w:rsidRPr="00B63E94">
        <w:rPr>
          <w:rFonts w:ascii="Times New Roman" w:eastAsia="Times New Roman" w:hAnsi="Times New Roman" w:cs="Times New Roman"/>
          <w:sz w:val="24"/>
          <w:szCs w:val="24"/>
          <w:lang w:val="en-US" w:eastAsia="en-US"/>
        </w:rPr>
        <w:t>of</w:t>
      </w:r>
      <w:bookmarkEnd w:id="18"/>
      <w:r w:rsidR="0087137A" w:rsidRPr="00B63E94">
        <w:rPr>
          <w:rFonts w:ascii="Times New Roman" w:eastAsia="Times New Roman" w:hAnsi="Times New Roman" w:cs="Times New Roman"/>
          <w:sz w:val="24"/>
          <w:szCs w:val="24"/>
          <w:lang w:val="en-US" w:eastAsia="en-US"/>
        </w:rPr>
        <w:t xml:space="preserve"> a competitive capitalist labour market</w:t>
      </w:r>
      <w:bookmarkStart w:id="19" w:name="_VV439M"/>
      <w:r w:rsidR="0087137A" w:rsidRPr="00B63E94">
        <w:rPr>
          <w:rFonts w:ascii="Times New Roman" w:eastAsia="Times New Roman" w:hAnsi="Times New Roman" w:cs="Times New Roman"/>
          <w:sz w:val="24"/>
          <w:szCs w:val="24"/>
          <w:lang w:val="en-US" w:eastAsia="en-US"/>
        </w:rPr>
        <w:t>.</w:t>
      </w:r>
      <w:bookmarkEnd w:id="19"/>
      <w:r w:rsidR="001D342B" w:rsidRPr="00B63E94">
        <w:rPr>
          <w:rStyle w:val="FootnoteReference"/>
          <w:rFonts w:ascii="Times New Roman" w:eastAsia="Times New Roman" w:hAnsi="Times New Roman" w:cs="Times New Roman"/>
          <w:sz w:val="24"/>
          <w:szCs w:val="24"/>
          <w:lang w:val="en-US" w:eastAsia="en-US"/>
        </w:rPr>
        <w:footnoteReference w:id="56"/>
      </w:r>
    </w:p>
    <w:p w14:paraId="395145AF" w14:textId="77777777" w:rsidR="00A02BBC" w:rsidRPr="00B63E94" w:rsidRDefault="00A02BBC" w:rsidP="00F22086">
      <w:pPr>
        <w:spacing w:line="360" w:lineRule="auto"/>
        <w:jc w:val="both"/>
        <w:rPr>
          <w:rFonts w:ascii="Times New Roman" w:hAnsi="Times New Roman" w:cs="Times New Roman"/>
          <w:sz w:val="24"/>
          <w:szCs w:val="24"/>
        </w:rPr>
      </w:pPr>
      <w:r w:rsidRPr="00B63E94">
        <w:rPr>
          <w:rFonts w:ascii="Times New Roman" w:hAnsi="Times New Roman" w:cs="Times New Roman"/>
          <w:sz w:val="24"/>
          <w:szCs w:val="24"/>
        </w:rPr>
        <w:t>Hodges-Aeberhard and Raskin</w:t>
      </w:r>
      <w:r w:rsidR="001D342B" w:rsidRPr="00B63E94">
        <w:rPr>
          <w:rFonts w:ascii="Times New Roman" w:hAnsi="Times New Roman" w:cs="Times New Roman"/>
          <w:sz w:val="24"/>
          <w:szCs w:val="24"/>
        </w:rPr>
        <w:t>, writing in 1997,</w:t>
      </w:r>
      <w:r w:rsidRPr="00B63E94">
        <w:rPr>
          <w:rFonts w:ascii="Times New Roman" w:hAnsi="Times New Roman" w:cs="Times New Roman"/>
          <w:sz w:val="24"/>
          <w:szCs w:val="24"/>
        </w:rPr>
        <w:t xml:space="preserve"> </w:t>
      </w:r>
      <w:r w:rsidR="00E1391D" w:rsidRPr="00B63E94">
        <w:rPr>
          <w:rFonts w:ascii="Times New Roman" w:hAnsi="Times New Roman" w:cs="Times New Roman"/>
          <w:sz w:val="24"/>
          <w:szCs w:val="24"/>
        </w:rPr>
        <w:t>advocate</w:t>
      </w:r>
      <w:r w:rsidR="001D342B" w:rsidRPr="00B63E94">
        <w:rPr>
          <w:rFonts w:ascii="Times New Roman" w:hAnsi="Times New Roman" w:cs="Times New Roman"/>
          <w:sz w:val="24"/>
          <w:szCs w:val="24"/>
        </w:rPr>
        <w:t>d</w:t>
      </w:r>
      <w:r w:rsidR="00E1391D" w:rsidRPr="00B63E94">
        <w:rPr>
          <w:rFonts w:ascii="Times New Roman" w:hAnsi="Times New Roman" w:cs="Times New Roman"/>
          <w:sz w:val="24"/>
          <w:szCs w:val="24"/>
        </w:rPr>
        <w:t xml:space="preserve"> affirmative action</w:t>
      </w:r>
      <w:r w:rsidR="00702227" w:rsidRPr="00B63E94">
        <w:rPr>
          <w:rFonts w:ascii="Times New Roman" w:hAnsi="Times New Roman" w:cs="Times New Roman"/>
          <w:sz w:val="24"/>
          <w:szCs w:val="24"/>
        </w:rPr>
        <w:t xml:space="preserve"> to promote the employment of disabled people</w:t>
      </w:r>
      <w:r w:rsidR="00E1391D" w:rsidRPr="00B63E94">
        <w:rPr>
          <w:rFonts w:ascii="Times New Roman" w:hAnsi="Times New Roman" w:cs="Times New Roman"/>
          <w:sz w:val="24"/>
          <w:szCs w:val="24"/>
        </w:rPr>
        <w:t xml:space="preserve">, </w:t>
      </w:r>
      <w:r w:rsidR="001D342B" w:rsidRPr="00B63E94">
        <w:rPr>
          <w:rFonts w:ascii="Times New Roman" w:hAnsi="Times New Roman" w:cs="Times New Roman"/>
          <w:sz w:val="24"/>
          <w:szCs w:val="24"/>
        </w:rPr>
        <w:t xml:space="preserve">and </w:t>
      </w:r>
      <w:r w:rsidRPr="00B63E94">
        <w:rPr>
          <w:rFonts w:ascii="Times New Roman" w:hAnsi="Times New Roman" w:cs="Times New Roman"/>
          <w:sz w:val="24"/>
          <w:szCs w:val="24"/>
        </w:rPr>
        <w:t>suggest</w:t>
      </w:r>
      <w:r w:rsidR="001D342B" w:rsidRPr="00B63E94">
        <w:rPr>
          <w:rFonts w:ascii="Times New Roman" w:hAnsi="Times New Roman" w:cs="Times New Roman"/>
          <w:sz w:val="24"/>
          <w:szCs w:val="24"/>
        </w:rPr>
        <w:t>ed</w:t>
      </w:r>
      <w:r w:rsidRPr="00B63E94">
        <w:rPr>
          <w:rFonts w:ascii="Times New Roman" w:hAnsi="Times New Roman" w:cs="Times New Roman"/>
          <w:sz w:val="24"/>
          <w:szCs w:val="24"/>
        </w:rPr>
        <w:t xml:space="preserve"> that the exclusion of disabled people from employment </w:t>
      </w:r>
      <w:r w:rsidR="001D342B" w:rsidRPr="00B63E94">
        <w:rPr>
          <w:rFonts w:ascii="Times New Roman" w:hAnsi="Times New Roman" w:cs="Times New Roman"/>
          <w:sz w:val="24"/>
          <w:szCs w:val="24"/>
        </w:rPr>
        <w:t>wa</w:t>
      </w:r>
      <w:r w:rsidRPr="00B63E94">
        <w:rPr>
          <w:rFonts w:ascii="Times New Roman" w:hAnsi="Times New Roman" w:cs="Times New Roman"/>
          <w:sz w:val="24"/>
          <w:szCs w:val="24"/>
        </w:rPr>
        <w:t xml:space="preserve">s </w:t>
      </w:r>
      <w:r w:rsidR="00E1391D" w:rsidRPr="00B63E94">
        <w:rPr>
          <w:rFonts w:ascii="Times New Roman" w:hAnsi="Times New Roman" w:cs="Times New Roman"/>
          <w:sz w:val="24"/>
          <w:szCs w:val="24"/>
        </w:rPr>
        <w:t>a</w:t>
      </w:r>
      <w:r w:rsidRPr="00B63E94">
        <w:rPr>
          <w:rFonts w:ascii="Times New Roman" w:hAnsi="Times New Roman" w:cs="Times New Roman"/>
          <w:sz w:val="24"/>
          <w:szCs w:val="24"/>
        </w:rPr>
        <w:t xml:space="preserve"> product of </w:t>
      </w:r>
      <w:r w:rsidR="00E1391D" w:rsidRPr="00B63E94">
        <w:rPr>
          <w:rFonts w:ascii="Times New Roman" w:hAnsi="Times New Roman" w:cs="Times New Roman"/>
          <w:sz w:val="24"/>
          <w:szCs w:val="24"/>
        </w:rPr>
        <w:t xml:space="preserve">deeply </w:t>
      </w:r>
      <w:r w:rsidRPr="00B63E94">
        <w:rPr>
          <w:rFonts w:ascii="Times New Roman" w:hAnsi="Times New Roman" w:cs="Times New Roman"/>
          <w:sz w:val="24"/>
          <w:szCs w:val="24"/>
        </w:rPr>
        <w:t xml:space="preserve">institutionalised discrimination </w:t>
      </w:r>
      <w:r w:rsidR="00E1391D" w:rsidRPr="00B63E94">
        <w:rPr>
          <w:rFonts w:ascii="Times New Roman" w:hAnsi="Times New Roman" w:cs="Times New Roman"/>
          <w:sz w:val="24"/>
          <w:szCs w:val="24"/>
        </w:rPr>
        <w:t>and that</w:t>
      </w:r>
      <w:r w:rsidRPr="00B63E94">
        <w:rPr>
          <w:rFonts w:ascii="Times New Roman" w:hAnsi="Times New Roman" w:cs="Times New Roman"/>
          <w:sz w:val="24"/>
          <w:szCs w:val="24"/>
        </w:rPr>
        <w:t>:</w:t>
      </w:r>
    </w:p>
    <w:p w14:paraId="7DEB2F33" w14:textId="131F449A" w:rsidR="00A02BBC" w:rsidRPr="00B63E94" w:rsidRDefault="00A02BBC" w:rsidP="00F22086">
      <w:pPr>
        <w:pStyle w:val="Quote"/>
        <w:jc w:val="both"/>
        <w:rPr>
          <w:rFonts w:ascii="Times New Roman" w:eastAsia="Times New Roman" w:hAnsi="Times New Roman" w:cs="Times New Roman"/>
          <w:sz w:val="24"/>
          <w:szCs w:val="24"/>
          <w:lang w:val="en-US" w:eastAsia="en-US"/>
        </w:rPr>
      </w:pPr>
      <w:proofErr w:type="gramStart"/>
      <w:r w:rsidRPr="00B63E94">
        <w:rPr>
          <w:rFonts w:ascii="Times New Roman" w:hAnsi="Times New Roman" w:cs="Times New Roman"/>
          <w:sz w:val="24"/>
          <w:szCs w:val="24"/>
        </w:rPr>
        <w:t>prohibiting</w:t>
      </w:r>
      <w:proofErr w:type="gramEnd"/>
      <w:r w:rsidRPr="00B63E94">
        <w:rPr>
          <w:rFonts w:ascii="Times New Roman" w:hAnsi="Times New Roman" w:cs="Times New Roman"/>
          <w:sz w:val="24"/>
          <w:szCs w:val="24"/>
        </w:rPr>
        <w:t xml:space="preserve"> discrimination is often insufficient to eliminate the </w:t>
      </w:r>
      <w:r w:rsidRPr="00B63E94">
        <w:rPr>
          <w:rFonts w:ascii="Times New Roman" w:hAnsi="Times New Roman" w:cs="Times New Roman"/>
          <w:i/>
          <w:sz w:val="24"/>
          <w:szCs w:val="24"/>
        </w:rPr>
        <w:t>de facto</w:t>
      </w:r>
      <w:r w:rsidRPr="00B63E94">
        <w:rPr>
          <w:rFonts w:ascii="Times New Roman" w:hAnsi="Times New Roman" w:cs="Times New Roman"/>
          <w:sz w:val="24"/>
          <w:szCs w:val="24"/>
        </w:rPr>
        <w:t xml:space="preserve"> practice. Positive measures, then, may be seen as steps which are set out to eliminate and make good any </w:t>
      </w:r>
      <w:r w:rsidRPr="00B63E94">
        <w:rPr>
          <w:rFonts w:ascii="Times New Roman" w:hAnsi="Times New Roman" w:cs="Times New Roman"/>
          <w:i/>
          <w:sz w:val="24"/>
          <w:szCs w:val="24"/>
        </w:rPr>
        <w:t>de facto</w:t>
      </w:r>
      <w:r w:rsidRPr="00B63E94">
        <w:rPr>
          <w:rFonts w:ascii="Times New Roman" w:hAnsi="Times New Roman" w:cs="Times New Roman"/>
          <w:sz w:val="24"/>
          <w:szCs w:val="24"/>
        </w:rPr>
        <w:t xml:space="preserve"> inequalities, thereby enabling members of groups suffering from discrimination or disadvantage to work in all sectors of activity and at all levels of responsibility.</w:t>
      </w:r>
      <w:r w:rsidR="001D342B" w:rsidRPr="00B63E94">
        <w:rPr>
          <w:rStyle w:val="FootnoteReference"/>
          <w:rFonts w:ascii="Times New Roman" w:hAnsi="Times New Roman" w:cs="Times New Roman"/>
          <w:sz w:val="24"/>
          <w:szCs w:val="24"/>
        </w:rPr>
        <w:footnoteReference w:id="57"/>
      </w:r>
      <w:r w:rsidRPr="00B63E94">
        <w:rPr>
          <w:rFonts w:ascii="Times New Roman" w:hAnsi="Times New Roman" w:cs="Times New Roman"/>
          <w:sz w:val="24"/>
          <w:szCs w:val="24"/>
        </w:rPr>
        <w:t xml:space="preserve">  </w:t>
      </w:r>
    </w:p>
    <w:p w14:paraId="427EB58F" w14:textId="77777777" w:rsidR="001A278C" w:rsidRPr="00B63E94" w:rsidRDefault="00496641"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 xml:space="preserve">Within the </w:t>
      </w:r>
      <w:r w:rsidR="00A02BBC" w:rsidRPr="00B63E94">
        <w:rPr>
          <w:rFonts w:ascii="Times New Roman" w:eastAsia="Times New Roman" w:hAnsi="Times New Roman" w:cs="Times New Roman"/>
          <w:sz w:val="24"/>
          <w:szCs w:val="24"/>
          <w:lang w:val="en-US" w:eastAsia="en-US"/>
        </w:rPr>
        <w:t>emergent</w:t>
      </w:r>
      <w:r w:rsidR="00C14973"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rights</w:t>
      </w:r>
      <w:r w:rsidR="003209FE" w:rsidRPr="00B63E94">
        <w:rPr>
          <w:rFonts w:ascii="Times New Roman" w:eastAsia="Times New Roman" w:hAnsi="Times New Roman" w:cs="Times New Roman"/>
          <w:sz w:val="24"/>
          <w:szCs w:val="24"/>
          <w:lang w:val="en-US" w:eastAsia="en-US"/>
        </w:rPr>
        <w:t>-based</w:t>
      </w:r>
      <w:r w:rsidRPr="00B63E94">
        <w:rPr>
          <w:rFonts w:ascii="Times New Roman" w:eastAsia="Times New Roman" w:hAnsi="Times New Roman" w:cs="Times New Roman"/>
          <w:sz w:val="24"/>
          <w:szCs w:val="24"/>
          <w:lang w:val="en-US" w:eastAsia="en-US"/>
        </w:rPr>
        <w:t xml:space="preserve"> model, </w:t>
      </w:r>
      <w:r w:rsidR="00C14973" w:rsidRPr="00B63E94">
        <w:rPr>
          <w:rFonts w:ascii="Times New Roman" w:eastAsia="Times New Roman" w:hAnsi="Times New Roman" w:cs="Times New Roman"/>
          <w:sz w:val="24"/>
          <w:szCs w:val="24"/>
          <w:lang w:val="en-US" w:eastAsia="en-US"/>
        </w:rPr>
        <w:t>epitomi</w:t>
      </w:r>
      <w:r w:rsidR="001D342B" w:rsidRPr="00B63E94">
        <w:rPr>
          <w:rFonts w:ascii="Times New Roman" w:eastAsia="Times New Roman" w:hAnsi="Times New Roman" w:cs="Times New Roman"/>
          <w:sz w:val="24"/>
          <w:szCs w:val="24"/>
          <w:lang w:val="en-US" w:eastAsia="en-US"/>
        </w:rPr>
        <w:t>s</w:t>
      </w:r>
      <w:r w:rsidR="00C14973" w:rsidRPr="00B63E94">
        <w:rPr>
          <w:rFonts w:ascii="Times New Roman" w:eastAsia="Times New Roman" w:hAnsi="Times New Roman" w:cs="Times New Roman"/>
          <w:sz w:val="24"/>
          <w:szCs w:val="24"/>
          <w:lang w:val="en-US" w:eastAsia="en-US"/>
        </w:rPr>
        <w:t>ed by the ADA, the</w:t>
      </w:r>
      <w:r w:rsidRPr="00B63E94">
        <w:rPr>
          <w:rFonts w:ascii="Times New Roman" w:eastAsia="Times New Roman" w:hAnsi="Times New Roman" w:cs="Times New Roman"/>
          <w:sz w:val="24"/>
          <w:szCs w:val="24"/>
          <w:lang w:val="en-US" w:eastAsia="en-US"/>
        </w:rPr>
        <w:t xml:space="preserve"> emphasis </w:t>
      </w:r>
      <w:r w:rsidR="001D342B" w:rsidRPr="00B63E94">
        <w:rPr>
          <w:rFonts w:ascii="Times New Roman" w:eastAsia="Times New Roman" w:hAnsi="Times New Roman" w:cs="Times New Roman"/>
          <w:sz w:val="24"/>
          <w:szCs w:val="24"/>
          <w:lang w:val="en-US" w:eastAsia="en-US"/>
        </w:rPr>
        <w:t>is</w:t>
      </w:r>
      <w:r w:rsidRPr="00B63E94">
        <w:rPr>
          <w:rFonts w:ascii="Times New Roman" w:eastAsia="Times New Roman" w:hAnsi="Times New Roman" w:cs="Times New Roman"/>
          <w:sz w:val="24"/>
          <w:szCs w:val="24"/>
          <w:lang w:val="en-US" w:eastAsia="en-US"/>
        </w:rPr>
        <w:t xml:space="preserve"> on anti-discriminat</w:t>
      </w:r>
      <w:r w:rsidR="00702227" w:rsidRPr="00B63E94">
        <w:rPr>
          <w:rFonts w:ascii="Times New Roman" w:eastAsia="Times New Roman" w:hAnsi="Times New Roman" w:cs="Times New Roman"/>
          <w:sz w:val="24"/>
          <w:szCs w:val="24"/>
          <w:lang w:val="en-US" w:eastAsia="en-US"/>
        </w:rPr>
        <w:t>ion</w:t>
      </w:r>
      <w:r w:rsidRPr="00B63E94">
        <w:rPr>
          <w:rFonts w:ascii="Times New Roman" w:eastAsia="Times New Roman" w:hAnsi="Times New Roman" w:cs="Times New Roman"/>
          <w:sz w:val="24"/>
          <w:szCs w:val="24"/>
          <w:lang w:val="en-US" w:eastAsia="en-US"/>
        </w:rPr>
        <w:t xml:space="preserve"> legislation</w:t>
      </w:r>
      <w:r w:rsidR="003209FE" w:rsidRPr="00B63E94">
        <w:rPr>
          <w:rFonts w:ascii="Times New Roman" w:eastAsia="Times New Roman" w:hAnsi="Times New Roman" w:cs="Times New Roman"/>
          <w:sz w:val="24"/>
          <w:szCs w:val="24"/>
          <w:lang w:val="en-US" w:eastAsia="en-US"/>
        </w:rPr>
        <w:t xml:space="preserve"> </w:t>
      </w:r>
      <w:r w:rsidR="00C14973" w:rsidRPr="00B63E94">
        <w:rPr>
          <w:rFonts w:ascii="Times New Roman" w:eastAsia="Times New Roman" w:hAnsi="Times New Roman" w:cs="Times New Roman"/>
          <w:sz w:val="24"/>
          <w:szCs w:val="24"/>
          <w:lang w:val="en-US" w:eastAsia="en-US"/>
        </w:rPr>
        <w:t xml:space="preserve">and the transformative potential of the open labour market. </w:t>
      </w:r>
      <w:r w:rsidR="0069476F" w:rsidRPr="00B63E94">
        <w:rPr>
          <w:rFonts w:ascii="Times New Roman" w:eastAsia="Times New Roman" w:hAnsi="Times New Roman" w:cs="Times New Roman"/>
          <w:sz w:val="24"/>
          <w:szCs w:val="24"/>
          <w:lang w:val="en-US" w:eastAsia="en-US"/>
        </w:rPr>
        <w:t>However</w:t>
      </w:r>
      <w:r w:rsidR="00C14973" w:rsidRPr="00B63E94">
        <w:rPr>
          <w:rFonts w:ascii="Times New Roman" w:eastAsia="Times New Roman" w:hAnsi="Times New Roman" w:cs="Times New Roman"/>
          <w:sz w:val="24"/>
          <w:szCs w:val="24"/>
          <w:lang w:val="en-US" w:eastAsia="en-US"/>
        </w:rPr>
        <w:t xml:space="preserve">, just as non-discrimination legislation </w:t>
      </w:r>
      <w:r w:rsidR="004138A2" w:rsidRPr="00B63E94">
        <w:rPr>
          <w:rFonts w:ascii="Times New Roman" w:eastAsia="Times New Roman" w:hAnsi="Times New Roman" w:cs="Times New Roman"/>
          <w:sz w:val="24"/>
          <w:szCs w:val="24"/>
          <w:lang w:val="en-US" w:eastAsia="en-US"/>
        </w:rPr>
        <w:t>failed to</w:t>
      </w:r>
      <w:r w:rsidR="00C14973" w:rsidRPr="00B63E94">
        <w:rPr>
          <w:rFonts w:ascii="Times New Roman" w:eastAsia="Times New Roman" w:hAnsi="Times New Roman" w:cs="Times New Roman"/>
          <w:sz w:val="24"/>
          <w:szCs w:val="24"/>
          <w:lang w:val="en-US" w:eastAsia="en-US"/>
        </w:rPr>
        <w:t xml:space="preserve"> </w:t>
      </w:r>
      <w:r w:rsidR="00A02BBC" w:rsidRPr="00B63E94">
        <w:rPr>
          <w:rFonts w:ascii="Times New Roman" w:eastAsia="Times New Roman" w:hAnsi="Times New Roman" w:cs="Times New Roman"/>
          <w:sz w:val="24"/>
          <w:szCs w:val="24"/>
          <w:lang w:val="en-US" w:eastAsia="en-US"/>
        </w:rPr>
        <w:t>deliver</w:t>
      </w:r>
      <w:r w:rsidR="00C14973" w:rsidRPr="00B63E94">
        <w:rPr>
          <w:rFonts w:ascii="Times New Roman" w:eastAsia="Times New Roman" w:hAnsi="Times New Roman" w:cs="Times New Roman"/>
          <w:sz w:val="24"/>
          <w:szCs w:val="24"/>
          <w:lang w:val="en-US" w:eastAsia="en-US"/>
        </w:rPr>
        <w:t xml:space="preserve"> equal employment opportunities or outcomes for women</w:t>
      </w:r>
      <w:r w:rsidR="00AD500B" w:rsidRPr="00B63E94">
        <w:rPr>
          <w:rStyle w:val="FootnoteReference"/>
          <w:rFonts w:ascii="Times New Roman" w:eastAsia="Times New Roman" w:hAnsi="Times New Roman" w:cs="Times New Roman"/>
          <w:sz w:val="24"/>
          <w:szCs w:val="24"/>
          <w:lang w:val="en-US" w:eastAsia="en-US"/>
        </w:rPr>
        <w:footnoteReference w:id="58"/>
      </w:r>
      <w:r w:rsidR="00C14973" w:rsidRPr="00B63E94">
        <w:rPr>
          <w:rFonts w:ascii="Times New Roman" w:eastAsia="Times New Roman" w:hAnsi="Times New Roman" w:cs="Times New Roman"/>
          <w:sz w:val="24"/>
          <w:szCs w:val="24"/>
          <w:lang w:val="en-US" w:eastAsia="en-US"/>
        </w:rPr>
        <w:t xml:space="preserve">, </w:t>
      </w:r>
      <w:r w:rsidR="004138A2" w:rsidRPr="00B63E94">
        <w:rPr>
          <w:rFonts w:ascii="Times New Roman" w:eastAsia="Times New Roman" w:hAnsi="Times New Roman" w:cs="Times New Roman"/>
          <w:sz w:val="24"/>
          <w:szCs w:val="24"/>
          <w:lang w:val="en-US" w:eastAsia="en-US"/>
        </w:rPr>
        <w:t>this</w:t>
      </w:r>
      <w:r w:rsidR="00C14973" w:rsidRPr="00B63E94">
        <w:rPr>
          <w:rFonts w:ascii="Times New Roman" w:eastAsia="Times New Roman" w:hAnsi="Times New Roman" w:cs="Times New Roman"/>
          <w:sz w:val="24"/>
          <w:szCs w:val="24"/>
          <w:lang w:val="en-US" w:eastAsia="en-US"/>
        </w:rPr>
        <w:t xml:space="preserve"> </w:t>
      </w:r>
      <w:r w:rsidR="003209FE" w:rsidRPr="00B63E94">
        <w:rPr>
          <w:rFonts w:ascii="Times New Roman" w:eastAsia="Times New Roman" w:hAnsi="Times New Roman" w:cs="Times New Roman"/>
          <w:sz w:val="24"/>
          <w:szCs w:val="24"/>
          <w:lang w:val="en-US" w:eastAsia="en-US"/>
        </w:rPr>
        <w:t>approach</w:t>
      </w:r>
      <w:r w:rsidR="00C14973" w:rsidRPr="00B63E94">
        <w:rPr>
          <w:rFonts w:ascii="Times New Roman" w:eastAsia="Times New Roman" w:hAnsi="Times New Roman" w:cs="Times New Roman"/>
          <w:sz w:val="24"/>
          <w:szCs w:val="24"/>
          <w:lang w:val="en-US" w:eastAsia="en-US"/>
        </w:rPr>
        <w:t xml:space="preserve"> alone </w:t>
      </w:r>
      <w:r w:rsidR="0069476F" w:rsidRPr="00B63E94">
        <w:rPr>
          <w:rFonts w:ascii="Times New Roman" w:eastAsia="Times New Roman" w:hAnsi="Times New Roman" w:cs="Times New Roman"/>
          <w:sz w:val="24"/>
          <w:szCs w:val="24"/>
          <w:lang w:val="en-US" w:eastAsia="en-US"/>
        </w:rPr>
        <w:t>is in</w:t>
      </w:r>
      <w:r w:rsidR="00C14973" w:rsidRPr="00B63E94">
        <w:rPr>
          <w:rFonts w:ascii="Times New Roman" w:eastAsia="Times New Roman" w:hAnsi="Times New Roman" w:cs="Times New Roman"/>
          <w:sz w:val="24"/>
          <w:szCs w:val="24"/>
          <w:lang w:val="en-US" w:eastAsia="en-US"/>
        </w:rPr>
        <w:t xml:space="preserve">sufficient to ensure equal </w:t>
      </w:r>
      <w:r w:rsidRPr="00B63E94">
        <w:rPr>
          <w:rFonts w:ascii="Times New Roman" w:eastAsia="Times New Roman" w:hAnsi="Times New Roman" w:cs="Times New Roman"/>
          <w:sz w:val="24"/>
          <w:szCs w:val="24"/>
          <w:lang w:val="en-US" w:eastAsia="en-US"/>
        </w:rPr>
        <w:t>opportunities</w:t>
      </w:r>
      <w:r w:rsidR="00C14973" w:rsidRPr="00B63E94">
        <w:rPr>
          <w:rFonts w:ascii="Times New Roman" w:eastAsia="Times New Roman" w:hAnsi="Times New Roman" w:cs="Times New Roman"/>
          <w:sz w:val="24"/>
          <w:szCs w:val="24"/>
          <w:lang w:val="en-US" w:eastAsia="en-US"/>
        </w:rPr>
        <w:t xml:space="preserve"> for disabled people</w:t>
      </w:r>
      <w:r w:rsidR="00E7217F" w:rsidRPr="00B63E94">
        <w:rPr>
          <w:rFonts w:ascii="Times New Roman" w:eastAsia="Times New Roman" w:hAnsi="Times New Roman" w:cs="Times New Roman"/>
          <w:sz w:val="24"/>
          <w:szCs w:val="24"/>
          <w:lang w:val="en-US" w:eastAsia="en-US"/>
        </w:rPr>
        <w:t>.</w:t>
      </w:r>
      <w:r w:rsidRPr="00B63E94">
        <w:rPr>
          <w:rFonts w:ascii="Times New Roman" w:eastAsia="Times New Roman" w:hAnsi="Times New Roman" w:cs="Times New Roman"/>
          <w:sz w:val="24"/>
          <w:szCs w:val="24"/>
          <w:lang w:val="en-US" w:eastAsia="en-US"/>
        </w:rPr>
        <w:t xml:space="preserve"> For example, </w:t>
      </w:r>
      <w:r w:rsidR="0069476F" w:rsidRPr="00B63E94">
        <w:rPr>
          <w:rFonts w:ascii="Times New Roman" w:eastAsia="Times New Roman" w:hAnsi="Times New Roman" w:cs="Times New Roman"/>
          <w:sz w:val="24"/>
          <w:szCs w:val="24"/>
          <w:lang w:val="en-US" w:eastAsia="en-US"/>
        </w:rPr>
        <w:t xml:space="preserve">in 1997 </w:t>
      </w:r>
      <w:r w:rsidRPr="00B63E94">
        <w:rPr>
          <w:rFonts w:ascii="Times New Roman" w:eastAsia="Times New Roman" w:hAnsi="Times New Roman" w:cs="Times New Roman"/>
          <w:sz w:val="24"/>
          <w:szCs w:val="24"/>
          <w:lang w:val="en-US" w:eastAsia="en-US"/>
        </w:rPr>
        <w:t>Yelin note</w:t>
      </w:r>
      <w:r w:rsidR="0087137A" w:rsidRPr="00B63E94">
        <w:rPr>
          <w:rFonts w:ascii="Times New Roman" w:eastAsia="Times New Roman" w:hAnsi="Times New Roman" w:cs="Times New Roman"/>
          <w:sz w:val="24"/>
          <w:szCs w:val="24"/>
          <w:lang w:val="en-US" w:eastAsia="en-US"/>
        </w:rPr>
        <w:t>d</w:t>
      </w:r>
      <w:r w:rsidRPr="00B63E94">
        <w:rPr>
          <w:rFonts w:ascii="Times New Roman" w:eastAsia="Times New Roman" w:hAnsi="Times New Roman" w:cs="Times New Roman"/>
          <w:sz w:val="24"/>
          <w:szCs w:val="24"/>
          <w:lang w:val="en-US" w:eastAsia="en-US"/>
        </w:rPr>
        <w:t xml:space="preserve"> that the raised expectations of disabled people </w:t>
      </w:r>
      <w:r w:rsidR="0087137A" w:rsidRPr="00B63E94">
        <w:rPr>
          <w:rFonts w:ascii="Times New Roman" w:eastAsia="Times New Roman" w:hAnsi="Times New Roman" w:cs="Times New Roman"/>
          <w:sz w:val="24"/>
          <w:szCs w:val="24"/>
          <w:lang w:val="en-US" w:eastAsia="en-US"/>
        </w:rPr>
        <w:t xml:space="preserve">following </w:t>
      </w:r>
      <w:r w:rsidR="0069476F" w:rsidRPr="00B63E94">
        <w:rPr>
          <w:rFonts w:ascii="Times New Roman" w:eastAsia="Times New Roman" w:hAnsi="Times New Roman" w:cs="Times New Roman"/>
          <w:sz w:val="24"/>
          <w:szCs w:val="24"/>
          <w:lang w:val="en-US" w:eastAsia="en-US"/>
        </w:rPr>
        <w:t>the adoption</w:t>
      </w:r>
      <w:r w:rsidR="0087137A" w:rsidRPr="00B63E94">
        <w:rPr>
          <w:rFonts w:ascii="Times New Roman" w:eastAsia="Times New Roman" w:hAnsi="Times New Roman" w:cs="Times New Roman"/>
          <w:sz w:val="24"/>
          <w:szCs w:val="24"/>
          <w:lang w:val="en-US" w:eastAsia="en-US"/>
        </w:rPr>
        <w:t xml:space="preserve"> of the ADA </w:t>
      </w:r>
      <w:r w:rsidR="0069476F" w:rsidRPr="00B63E94">
        <w:rPr>
          <w:rFonts w:ascii="Times New Roman" w:eastAsia="Times New Roman" w:hAnsi="Times New Roman" w:cs="Times New Roman"/>
          <w:sz w:val="24"/>
          <w:szCs w:val="24"/>
          <w:lang w:val="en-US" w:eastAsia="en-US"/>
        </w:rPr>
        <w:t>had to be</w:t>
      </w:r>
      <w:r w:rsidRPr="00B63E94">
        <w:rPr>
          <w:rFonts w:ascii="Times New Roman" w:eastAsia="Times New Roman" w:hAnsi="Times New Roman" w:cs="Times New Roman"/>
          <w:sz w:val="24"/>
          <w:szCs w:val="24"/>
          <w:lang w:val="en-US" w:eastAsia="en-US"/>
        </w:rPr>
        <w:t xml:space="preserve"> balanced against job insecurity in US labour markets, where disabled women </w:t>
      </w:r>
      <w:r w:rsidR="00AD500B" w:rsidRPr="00B63E94">
        <w:rPr>
          <w:rFonts w:ascii="Times New Roman" w:eastAsia="Times New Roman" w:hAnsi="Times New Roman" w:cs="Times New Roman"/>
          <w:sz w:val="24"/>
          <w:szCs w:val="24"/>
          <w:lang w:val="en-US" w:eastAsia="en-US"/>
        </w:rPr>
        <w:t xml:space="preserve">were </w:t>
      </w:r>
      <w:r w:rsidRPr="00B63E94">
        <w:rPr>
          <w:rFonts w:ascii="Times New Roman" w:eastAsia="Times New Roman" w:hAnsi="Times New Roman" w:cs="Times New Roman"/>
          <w:sz w:val="24"/>
          <w:szCs w:val="24"/>
          <w:lang w:val="en-US" w:eastAsia="en-US"/>
        </w:rPr>
        <w:t>likely t</w:t>
      </w:r>
      <w:r w:rsidR="0087137A" w:rsidRPr="00B63E94">
        <w:rPr>
          <w:rFonts w:ascii="Times New Roman" w:eastAsia="Times New Roman" w:hAnsi="Times New Roman" w:cs="Times New Roman"/>
          <w:sz w:val="24"/>
          <w:szCs w:val="24"/>
          <w:lang w:val="en-US" w:eastAsia="en-US"/>
        </w:rPr>
        <w:t xml:space="preserve">o be </w:t>
      </w:r>
      <w:r w:rsidR="0087137A" w:rsidRPr="00B63E94">
        <w:rPr>
          <w:rFonts w:ascii="Times New Roman" w:eastAsia="Times New Roman" w:hAnsi="Times New Roman" w:cs="Times New Roman"/>
          <w:sz w:val="24"/>
          <w:szCs w:val="24"/>
          <w:lang w:val="en-US" w:eastAsia="en-US"/>
        </w:rPr>
        <w:lastRenderedPageBreak/>
        <w:t>particularly disadvantaged</w:t>
      </w:r>
      <w:r w:rsidRPr="00B63E94">
        <w:rPr>
          <w:rFonts w:ascii="Times New Roman" w:eastAsia="Times New Roman" w:hAnsi="Times New Roman" w:cs="Times New Roman"/>
          <w:sz w:val="24"/>
          <w:szCs w:val="24"/>
          <w:lang w:val="en-US" w:eastAsia="en-US"/>
        </w:rPr>
        <w:t>.</w:t>
      </w:r>
      <w:r w:rsidR="0069476F" w:rsidRPr="00B63E94">
        <w:rPr>
          <w:rStyle w:val="FootnoteReference"/>
          <w:rFonts w:ascii="Times New Roman" w:eastAsia="Times New Roman" w:hAnsi="Times New Roman" w:cs="Times New Roman"/>
          <w:sz w:val="24"/>
          <w:szCs w:val="24"/>
          <w:lang w:val="en-US" w:eastAsia="en-US"/>
        </w:rPr>
        <w:footnoteReference w:id="59"/>
      </w:r>
      <w:r w:rsidRPr="00B63E94">
        <w:rPr>
          <w:rFonts w:ascii="Times New Roman" w:eastAsia="Times New Roman" w:hAnsi="Times New Roman" w:cs="Times New Roman"/>
          <w:sz w:val="24"/>
          <w:szCs w:val="24"/>
          <w:lang w:val="en-US" w:eastAsia="en-US"/>
        </w:rPr>
        <w:t xml:space="preserve"> </w:t>
      </w:r>
      <w:r w:rsidR="0087137A" w:rsidRPr="00B63E94">
        <w:rPr>
          <w:rFonts w:ascii="Times New Roman" w:eastAsia="Times New Roman" w:hAnsi="Times New Roman" w:cs="Times New Roman"/>
          <w:sz w:val="24"/>
          <w:szCs w:val="24"/>
          <w:lang w:val="en-US" w:eastAsia="en-US"/>
        </w:rPr>
        <w:t xml:space="preserve">Much concern was also evident in the early years of </w:t>
      </w:r>
      <w:r w:rsidR="00AD500B" w:rsidRPr="00B63E94">
        <w:rPr>
          <w:rFonts w:ascii="Times New Roman" w:eastAsia="Times New Roman" w:hAnsi="Times New Roman" w:cs="Times New Roman"/>
          <w:sz w:val="24"/>
          <w:szCs w:val="24"/>
          <w:lang w:val="en-US" w:eastAsia="en-US"/>
        </w:rPr>
        <w:t>implementation</w:t>
      </w:r>
      <w:r w:rsidR="00F743DA" w:rsidRPr="00B63E94">
        <w:rPr>
          <w:rFonts w:ascii="Times New Roman" w:eastAsia="Times New Roman" w:hAnsi="Times New Roman" w:cs="Times New Roman"/>
          <w:sz w:val="24"/>
          <w:szCs w:val="24"/>
          <w:lang w:val="en-US" w:eastAsia="en-US"/>
        </w:rPr>
        <w:t xml:space="preserve"> of the ADA</w:t>
      </w:r>
      <w:r w:rsidR="00AD500B" w:rsidRPr="00B63E94">
        <w:rPr>
          <w:rFonts w:ascii="Times New Roman" w:eastAsia="Times New Roman" w:hAnsi="Times New Roman" w:cs="Times New Roman"/>
          <w:sz w:val="24"/>
          <w:szCs w:val="24"/>
          <w:lang w:val="en-US" w:eastAsia="en-US"/>
        </w:rPr>
        <w:t xml:space="preserve">, from 1990 in the USA, </w:t>
      </w:r>
      <w:r w:rsidR="0087137A" w:rsidRPr="00B63E94">
        <w:rPr>
          <w:rFonts w:ascii="Times New Roman" w:eastAsia="Times New Roman" w:hAnsi="Times New Roman" w:cs="Times New Roman"/>
          <w:sz w:val="24"/>
          <w:szCs w:val="24"/>
          <w:lang w:val="en-US" w:eastAsia="en-US"/>
        </w:rPr>
        <w:t>that neither</w:t>
      </w:r>
      <w:r w:rsidRPr="00B63E94">
        <w:rPr>
          <w:rFonts w:ascii="Times New Roman" w:eastAsia="Times New Roman" w:hAnsi="Times New Roman" w:cs="Times New Roman"/>
          <w:sz w:val="24"/>
          <w:szCs w:val="24"/>
          <w:lang w:val="en-US" w:eastAsia="en-US"/>
        </w:rPr>
        <w:t xml:space="preserve"> employers </w:t>
      </w:r>
      <w:r w:rsidR="00602856" w:rsidRPr="00B63E94">
        <w:rPr>
          <w:rFonts w:ascii="Times New Roman" w:eastAsia="Times New Roman" w:hAnsi="Times New Roman" w:cs="Times New Roman"/>
          <w:sz w:val="24"/>
          <w:szCs w:val="24"/>
          <w:lang w:val="en-US" w:eastAsia="en-US"/>
        </w:rPr>
        <w:t>nor</w:t>
      </w:r>
      <w:r w:rsidRPr="00B63E94">
        <w:rPr>
          <w:rFonts w:ascii="Times New Roman" w:eastAsia="Times New Roman" w:hAnsi="Times New Roman" w:cs="Times New Roman"/>
          <w:sz w:val="24"/>
          <w:szCs w:val="24"/>
          <w:lang w:val="en-US" w:eastAsia="en-US"/>
        </w:rPr>
        <w:t xml:space="preserve"> the courts </w:t>
      </w:r>
      <w:r w:rsidR="0087137A" w:rsidRPr="00B63E94">
        <w:rPr>
          <w:rFonts w:ascii="Times New Roman" w:eastAsia="Times New Roman" w:hAnsi="Times New Roman" w:cs="Times New Roman"/>
          <w:sz w:val="24"/>
          <w:szCs w:val="24"/>
          <w:lang w:val="en-US" w:eastAsia="en-US"/>
        </w:rPr>
        <w:t xml:space="preserve">were well versed in </w:t>
      </w:r>
      <w:r w:rsidR="00602856" w:rsidRPr="00B63E94">
        <w:rPr>
          <w:rFonts w:ascii="Times New Roman" w:eastAsia="Times New Roman" w:hAnsi="Times New Roman" w:cs="Times New Roman"/>
          <w:sz w:val="24"/>
          <w:szCs w:val="24"/>
          <w:lang w:val="en-US" w:eastAsia="en-US"/>
        </w:rPr>
        <w:t>what</w:t>
      </w:r>
      <w:r w:rsidR="0087137A"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‘reasonable </w:t>
      </w:r>
      <w:r w:rsidR="0087137A" w:rsidRPr="00B63E94">
        <w:rPr>
          <w:rFonts w:ascii="Times New Roman" w:eastAsia="Times New Roman" w:hAnsi="Times New Roman" w:cs="Times New Roman"/>
          <w:sz w:val="24"/>
          <w:szCs w:val="24"/>
          <w:lang w:val="en-US" w:eastAsia="en-US"/>
        </w:rPr>
        <w:t>adjustment</w:t>
      </w:r>
      <w:r w:rsidRPr="00B63E94">
        <w:rPr>
          <w:rFonts w:ascii="Times New Roman" w:eastAsia="Times New Roman" w:hAnsi="Times New Roman" w:cs="Times New Roman"/>
          <w:sz w:val="24"/>
          <w:szCs w:val="24"/>
          <w:lang w:val="en-US" w:eastAsia="en-US"/>
        </w:rPr>
        <w:t>’</w:t>
      </w:r>
      <w:r w:rsidR="00602856" w:rsidRPr="00B63E94">
        <w:rPr>
          <w:rFonts w:ascii="Times New Roman" w:eastAsia="Times New Roman" w:hAnsi="Times New Roman" w:cs="Times New Roman"/>
          <w:sz w:val="24"/>
          <w:szCs w:val="24"/>
          <w:lang w:val="en-US" w:eastAsia="en-US"/>
        </w:rPr>
        <w:t xml:space="preserve"> really meant </w:t>
      </w:r>
      <w:r w:rsidRPr="00B63E94">
        <w:rPr>
          <w:rFonts w:ascii="Times New Roman" w:eastAsia="Times New Roman" w:hAnsi="Times New Roman" w:cs="Times New Roman"/>
          <w:sz w:val="24"/>
          <w:szCs w:val="24"/>
          <w:lang w:val="en-US" w:eastAsia="en-US"/>
        </w:rPr>
        <w:t>in the</w:t>
      </w:r>
      <w:r w:rsidR="00702227" w:rsidRPr="00B63E94">
        <w:rPr>
          <w:rFonts w:ascii="Times New Roman" w:eastAsia="Times New Roman" w:hAnsi="Times New Roman" w:cs="Times New Roman"/>
          <w:sz w:val="24"/>
          <w:szCs w:val="24"/>
          <w:lang w:val="en-US" w:eastAsia="en-US"/>
        </w:rPr>
        <w:t xml:space="preserve"> context of the</w:t>
      </w:r>
      <w:r w:rsidRPr="00B63E94">
        <w:rPr>
          <w:rFonts w:ascii="Times New Roman" w:eastAsia="Times New Roman" w:hAnsi="Times New Roman" w:cs="Times New Roman"/>
          <w:sz w:val="24"/>
          <w:szCs w:val="24"/>
          <w:lang w:val="en-US" w:eastAsia="en-US"/>
        </w:rPr>
        <w:t xml:space="preserve"> workplace, </w:t>
      </w:r>
      <w:r w:rsidR="0069476F" w:rsidRPr="00B63E94">
        <w:rPr>
          <w:rFonts w:ascii="Times New Roman" w:eastAsia="Times New Roman" w:hAnsi="Times New Roman" w:cs="Times New Roman"/>
          <w:sz w:val="24"/>
          <w:szCs w:val="24"/>
          <w:lang w:val="en-US" w:eastAsia="en-US"/>
        </w:rPr>
        <w:t xml:space="preserve">and that they would </w:t>
      </w:r>
      <w:r w:rsidRPr="00B63E94">
        <w:rPr>
          <w:rFonts w:ascii="Times New Roman" w:eastAsia="Times New Roman" w:hAnsi="Times New Roman" w:cs="Times New Roman"/>
          <w:sz w:val="24"/>
          <w:szCs w:val="24"/>
          <w:lang w:val="en-US" w:eastAsia="en-US"/>
        </w:rPr>
        <w:t xml:space="preserve">focus </w:t>
      </w:r>
      <w:r w:rsidR="0087137A" w:rsidRPr="00B63E94">
        <w:rPr>
          <w:rFonts w:ascii="Times New Roman" w:eastAsia="Times New Roman" w:hAnsi="Times New Roman" w:cs="Times New Roman"/>
          <w:sz w:val="24"/>
          <w:szCs w:val="24"/>
          <w:lang w:val="en-US" w:eastAsia="en-US"/>
        </w:rPr>
        <w:t>more on</w:t>
      </w:r>
      <w:r w:rsidRPr="00B63E94">
        <w:rPr>
          <w:rFonts w:ascii="Times New Roman" w:eastAsia="Times New Roman" w:hAnsi="Times New Roman" w:cs="Times New Roman"/>
          <w:sz w:val="24"/>
          <w:szCs w:val="24"/>
          <w:lang w:val="en-US" w:eastAsia="en-US"/>
        </w:rPr>
        <w:t xml:space="preserve"> technical </w:t>
      </w:r>
      <w:r w:rsidR="0087137A" w:rsidRPr="00B63E94">
        <w:rPr>
          <w:rFonts w:ascii="Times New Roman" w:eastAsia="Times New Roman" w:hAnsi="Times New Roman" w:cs="Times New Roman"/>
          <w:sz w:val="24"/>
          <w:szCs w:val="24"/>
          <w:lang w:val="en-US" w:eastAsia="en-US"/>
        </w:rPr>
        <w:t>adjustments</w:t>
      </w:r>
      <w:r w:rsidRPr="00B63E94">
        <w:rPr>
          <w:rFonts w:ascii="Times New Roman" w:eastAsia="Times New Roman" w:hAnsi="Times New Roman" w:cs="Times New Roman"/>
          <w:sz w:val="24"/>
          <w:szCs w:val="24"/>
          <w:lang w:val="en-US" w:eastAsia="en-US"/>
        </w:rPr>
        <w:t xml:space="preserve"> than </w:t>
      </w:r>
      <w:r w:rsidR="0087137A" w:rsidRPr="00B63E94">
        <w:rPr>
          <w:rFonts w:ascii="Times New Roman" w:eastAsia="Times New Roman" w:hAnsi="Times New Roman" w:cs="Times New Roman"/>
          <w:sz w:val="24"/>
          <w:szCs w:val="24"/>
          <w:lang w:val="en-US" w:eastAsia="en-US"/>
        </w:rPr>
        <w:t xml:space="preserve">on </w:t>
      </w:r>
      <w:r w:rsidRPr="00B63E94">
        <w:rPr>
          <w:rFonts w:ascii="Times New Roman" w:eastAsia="Times New Roman" w:hAnsi="Times New Roman" w:cs="Times New Roman"/>
          <w:sz w:val="24"/>
          <w:szCs w:val="24"/>
          <w:lang w:val="en-US" w:eastAsia="en-US"/>
        </w:rPr>
        <w:t>the social context of workplaces and w</w:t>
      </w:r>
      <w:r w:rsidR="0087137A" w:rsidRPr="00B63E94">
        <w:rPr>
          <w:rFonts w:ascii="Times New Roman" w:eastAsia="Times New Roman" w:hAnsi="Times New Roman" w:cs="Times New Roman"/>
          <w:sz w:val="24"/>
          <w:szCs w:val="24"/>
          <w:lang w:val="en-US" w:eastAsia="en-US"/>
        </w:rPr>
        <w:t>ork groups</w:t>
      </w:r>
      <w:r w:rsidRPr="00B63E94">
        <w:rPr>
          <w:rFonts w:ascii="Times New Roman" w:eastAsia="Times New Roman" w:hAnsi="Times New Roman" w:cs="Times New Roman"/>
          <w:sz w:val="24"/>
          <w:szCs w:val="24"/>
          <w:lang w:val="en-US" w:eastAsia="en-US"/>
        </w:rPr>
        <w:t>.</w:t>
      </w:r>
      <w:bookmarkStart w:id="20" w:name="_VV337M"/>
      <w:r w:rsidR="0069476F" w:rsidRPr="00B63E94">
        <w:rPr>
          <w:rStyle w:val="FootnoteReference"/>
          <w:rFonts w:ascii="Times New Roman" w:eastAsia="Times New Roman" w:hAnsi="Times New Roman" w:cs="Times New Roman"/>
          <w:sz w:val="24"/>
          <w:szCs w:val="24"/>
          <w:lang w:val="en-US" w:eastAsia="en-US"/>
        </w:rPr>
        <w:footnoteReference w:id="60"/>
      </w:r>
    </w:p>
    <w:p w14:paraId="1207F682" w14:textId="77777777" w:rsidR="00496641" w:rsidRPr="00B63E94" w:rsidRDefault="00496641"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To summari</w:t>
      </w:r>
      <w:r w:rsidR="00F743DA" w:rsidRPr="00B63E94">
        <w:rPr>
          <w:rFonts w:ascii="Times New Roman" w:eastAsia="Times New Roman" w:hAnsi="Times New Roman" w:cs="Times New Roman"/>
          <w:sz w:val="24"/>
          <w:szCs w:val="24"/>
          <w:lang w:val="en-US" w:eastAsia="en-US"/>
        </w:rPr>
        <w:t>s</w:t>
      </w:r>
      <w:r w:rsidRPr="00B63E94">
        <w:rPr>
          <w:rFonts w:ascii="Times New Roman" w:eastAsia="Times New Roman" w:hAnsi="Times New Roman" w:cs="Times New Roman"/>
          <w:sz w:val="24"/>
          <w:szCs w:val="24"/>
          <w:lang w:val="en-US" w:eastAsia="en-US"/>
        </w:rPr>
        <w:t xml:space="preserve">e, </w:t>
      </w:r>
      <w:bookmarkEnd w:id="20"/>
      <w:r w:rsidR="00602856" w:rsidRPr="00B63E94">
        <w:rPr>
          <w:rFonts w:ascii="Times New Roman" w:eastAsia="Times New Roman" w:hAnsi="Times New Roman" w:cs="Times New Roman"/>
          <w:sz w:val="24"/>
          <w:szCs w:val="24"/>
          <w:lang w:val="en-US" w:eastAsia="en-US"/>
        </w:rPr>
        <w:t>d</w:t>
      </w:r>
      <w:r w:rsidRPr="00B63E94">
        <w:rPr>
          <w:rFonts w:ascii="Times New Roman" w:eastAsia="Times New Roman" w:hAnsi="Times New Roman" w:cs="Times New Roman"/>
          <w:sz w:val="24"/>
          <w:szCs w:val="24"/>
          <w:lang w:val="en-US" w:eastAsia="en-US"/>
        </w:rPr>
        <w:t xml:space="preserve">espite differing political origins </w:t>
      </w:r>
      <w:r w:rsidR="00624442" w:rsidRPr="00B63E94">
        <w:rPr>
          <w:rFonts w:ascii="Times New Roman" w:eastAsia="Times New Roman" w:hAnsi="Times New Roman" w:cs="Times New Roman"/>
          <w:sz w:val="24"/>
          <w:szCs w:val="24"/>
          <w:lang w:val="en-US" w:eastAsia="en-US"/>
        </w:rPr>
        <w:t>and policy</w:t>
      </w:r>
      <w:r w:rsidRPr="00B63E94">
        <w:rPr>
          <w:rFonts w:ascii="Times New Roman" w:eastAsia="Times New Roman" w:hAnsi="Times New Roman" w:cs="Times New Roman"/>
          <w:sz w:val="24"/>
          <w:szCs w:val="24"/>
          <w:lang w:val="en-US" w:eastAsia="en-US"/>
        </w:rPr>
        <w:t xml:space="preserve"> traditions</w:t>
      </w:r>
      <w:r w:rsidR="00F743DA" w:rsidRPr="00B63E94">
        <w:rPr>
          <w:rFonts w:ascii="Times New Roman" w:eastAsia="Times New Roman" w:hAnsi="Times New Roman" w:cs="Times New Roman"/>
          <w:sz w:val="24"/>
          <w:szCs w:val="24"/>
          <w:lang w:val="en-US" w:eastAsia="en-US"/>
        </w:rPr>
        <w:t>,</w:t>
      </w:r>
      <w:r w:rsidRPr="00B63E94">
        <w:rPr>
          <w:rFonts w:ascii="Times New Roman" w:eastAsia="Times New Roman" w:hAnsi="Times New Roman" w:cs="Times New Roman"/>
          <w:sz w:val="24"/>
          <w:szCs w:val="24"/>
          <w:lang w:val="en-US" w:eastAsia="en-US"/>
        </w:rPr>
        <w:t xml:space="preserve"> there are some important parallels in </w:t>
      </w:r>
      <w:r w:rsidR="00624442" w:rsidRPr="00B63E94">
        <w:rPr>
          <w:rFonts w:ascii="Times New Roman" w:eastAsia="Times New Roman" w:hAnsi="Times New Roman" w:cs="Times New Roman"/>
          <w:sz w:val="24"/>
          <w:szCs w:val="24"/>
          <w:lang w:val="en-US" w:eastAsia="en-US"/>
        </w:rPr>
        <w:t xml:space="preserve">the development of </w:t>
      </w:r>
      <w:r w:rsidR="00602856" w:rsidRPr="00B63E94">
        <w:rPr>
          <w:rFonts w:ascii="Times New Roman" w:eastAsia="Times New Roman" w:hAnsi="Times New Roman" w:cs="Times New Roman"/>
          <w:sz w:val="24"/>
          <w:szCs w:val="24"/>
          <w:lang w:val="en-US" w:eastAsia="en-US"/>
        </w:rPr>
        <w:t>compensatory and rights-based approaches</w:t>
      </w:r>
      <w:r w:rsidRPr="00B63E94">
        <w:rPr>
          <w:rFonts w:ascii="Times New Roman" w:eastAsia="Times New Roman" w:hAnsi="Times New Roman" w:cs="Times New Roman"/>
          <w:sz w:val="24"/>
          <w:szCs w:val="24"/>
          <w:lang w:val="en-US" w:eastAsia="en-US"/>
        </w:rPr>
        <w:t xml:space="preserve"> </w:t>
      </w:r>
      <w:r w:rsidR="0069476F" w:rsidRPr="00B63E94">
        <w:rPr>
          <w:rFonts w:ascii="Times New Roman" w:eastAsia="Times New Roman" w:hAnsi="Times New Roman" w:cs="Times New Roman"/>
          <w:sz w:val="24"/>
          <w:szCs w:val="24"/>
          <w:lang w:val="en-US" w:eastAsia="en-US"/>
        </w:rPr>
        <w:t>to supporting the employment of disabled people</w:t>
      </w:r>
      <w:r w:rsidR="00624442" w:rsidRPr="00B63E94">
        <w:rPr>
          <w:rFonts w:ascii="Times New Roman" w:eastAsia="Times New Roman" w:hAnsi="Times New Roman" w:cs="Times New Roman"/>
          <w:sz w:val="24"/>
          <w:szCs w:val="24"/>
          <w:lang w:val="en-US" w:eastAsia="en-US"/>
        </w:rPr>
        <w:t>. There is a sense in which both</w:t>
      </w:r>
      <w:r w:rsidR="0069476F"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take a</w:t>
      </w:r>
      <w:r w:rsidR="00624442" w:rsidRPr="00B63E94">
        <w:rPr>
          <w:rFonts w:ascii="Times New Roman" w:eastAsia="Times New Roman" w:hAnsi="Times New Roman" w:cs="Times New Roman"/>
          <w:sz w:val="24"/>
          <w:szCs w:val="24"/>
          <w:lang w:val="en-US" w:eastAsia="en-US"/>
        </w:rPr>
        <w:t xml:space="preserve"> somewhat</w:t>
      </w:r>
      <w:r w:rsidRPr="00B63E94">
        <w:rPr>
          <w:rFonts w:ascii="Times New Roman" w:eastAsia="Times New Roman" w:hAnsi="Times New Roman" w:cs="Times New Roman"/>
          <w:sz w:val="24"/>
          <w:szCs w:val="24"/>
          <w:lang w:val="en-US" w:eastAsia="en-US"/>
        </w:rPr>
        <w:t xml:space="preserve"> unquestioning view of the </w:t>
      </w:r>
      <w:r w:rsidR="00602856" w:rsidRPr="00B63E94">
        <w:rPr>
          <w:rFonts w:ascii="Times New Roman" w:eastAsia="Times New Roman" w:hAnsi="Times New Roman" w:cs="Times New Roman"/>
          <w:sz w:val="24"/>
          <w:szCs w:val="24"/>
          <w:lang w:val="en-US" w:eastAsia="en-US"/>
        </w:rPr>
        <w:t>positive role</w:t>
      </w:r>
      <w:r w:rsidRPr="00B63E94">
        <w:rPr>
          <w:rFonts w:ascii="Times New Roman" w:eastAsia="Times New Roman" w:hAnsi="Times New Roman" w:cs="Times New Roman"/>
          <w:sz w:val="24"/>
          <w:szCs w:val="24"/>
          <w:lang w:val="en-US" w:eastAsia="en-US"/>
        </w:rPr>
        <w:t xml:space="preserve"> </w:t>
      </w:r>
      <w:r w:rsidR="00602856" w:rsidRPr="00B63E94">
        <w:rPr>
          <w:rFonts w:ascii="Times New Roman" w:eastAsia="Times New Roman" w:hAnsi="Times New Roman" w:cs="Times New Roman"/>
          <w:sz w:val="24"/>
          <w:szCs w:val="24"/>
          <w:lang w:val="en-US" w:eastAsia="en-US"/>
        </w:rPr>
        <w:t>attributed to paid</w:t>
      </w:r>
      <w:r w:rsidRPr="00B63E94">
        <w:rPr>
          <w:rFonts w:ascii="Times New Roman" w:eastAsia="Times New Roman" w:hAnsi="Times New Roman" w:cs="Times New Roman"/>
          <w:sz w:val="24"/>
          <w:szCs w:val="24"/>
          <w:lang w:val="en-US" w:eastAsia="en-US"/>
        </w:rPr>
        <w:t xml:space="preserve"> employment </w:t>
      </w:r>
      <w:r w:rsidR="00602856" w:rsidRPr="00B63E94">
        <w:rPr>
          <w:rFonts w:ascii="Times New Roman" w:eastAsia="Times New Roman" w:hAnsi="Times New Roman" w:cs="Times New Roman"/>
          <w:sz w:val="24"/>
          <w:szCs w:val="24"/>
          <w:lang w:val="en-US" w:eastAsia="en-US"/>
        </w:rPr>
        <w:t>as a social status in capitalist economies (and the social devalu</w:t>
      </w:r>
      <w:r w:rsidR="0069476F" w:rsidRPr="00B63E94">
        <w:rPr>
          <w:rFonts w:ascii="Times New Roman" w:eastAsia="Times New Roman" w:hAnsi="Times New Roman" w:cs="Times New Roman"/>
          <w:sz w:val="24"/>
          <w:szCs w:val="24"/>
          <w:lang w:val="en-US" w:eastAsia="en-US"/>
        </w:rPr>
        <w:t>ation</w:t>
      </w:r>
      <w:r w:rsidR="00602856" w:rsidRPr="00B63E94">
        <w:rPr>
          <w:rFonts w:ascii="Times New Roman" w:eastAsia="Times New Roman" w:hAnsi="Times New Roman" w:cs="Times New Roman"/>
          <w:sz w:val="24"/>
          <w:szCs w:val="24"/>
          <w:lang w:val="en-US" w:eastAsia="en-US"/>
        </w:rPr>
        <w:t xml:space="preserve"> of those who do not or cannot work on an equal basis</w:t>
      </w:r>
      <w:r w:rsidR="0069476F" w:rsidRPr="00B63E94">
        <w:rPr>
          <w:rFonts w:ascii="Times New Roman" w:eastAsia="Times New Roman" w:hAnsi="Times New Roman" w:cs="Times New Roman"/>
          <w:sz w:val="24"/>
          <w:szCs w:val="24"/>
          <w:lang w:val="en-US" w:eastAsia="en-US"/>
        </w:rPr>
        <w:t xml:space="preserve"> with others</w:t>
      </w:r>
      <w:r w:rsidR="00602856" w:rsidRPr="00B63E94">
        <w:rPr>
          <w:rFonts w:ascii="Times New Roman" w:eastAsia="Times New Roman" w:hAnsi="Times New Roman" w:cs="Times New Roman"/>
          <w:sz w:val="24"/>
          <w:szCs w:val="24"/>
          <w:lang w:val="en-US" w:eastAsia="en-US"/>
        </w:rPr>
        <w:t>)</w:t>
      </w:r>
      <w:r w:rsidRPr="00B63E94">
        <w:rPr>
          <w:rFonts w:ascii="Times New Roman" w:eastAsia="Times New Roman" w:hAnsi="Times New Roman" w:cs="Times New Roman"/>
          <w:sz w:val="24"/>
          <w:szCs w:val="24"/>
          <w:lang w:val="en-US" w:eastAsia="en-US"/>
        </w:rPr>
        <w:t xml:space="preserve">. </w:t>
      </w:r>
      <w:r w:rsidR="00602856" w:rsidRPr="00B63E94">
        <w:rPr>
          <w:rFonts w:ascii="Times New Roman" w:eastAsia="Times New Roman" w:hAnsi="Times New Roman" w:cs="Times New Roman"/>
          <w:sz w:val="24"/>
          <w:szCs w:val="24"/>
          <w:lang w:val="en-US" w:eastAsia="en-US"/>
        </w:rPr>
        <w:t>For example, echoing the themes outlined at the beginning of this chapter, Burkhauser argues that there is unlikely to be any real progress towards independence in any sphere until there is a culture shift in accepting that disabled people ‘can and should be expected to work’</w:t>
      </w:r>
      <w:r w:rsidR="0069476F" w:rsidRPr="00B63E94">
        <w:rPr>
          <w:rFonts w:ascii="Times New Roman" w:eastAsia="Times New Roman" w:hAnsi="Times New Roman" w:cs="Times New Roman"/>
          <w:sz w:val="24"/>
          <w:szCs w:val="24"/>
          <w:lang w:val="en-US" w:eastAsia="en-US"/>
        </w:rPr>
        <w:t>.</w:t>
      </w:r>
      <w:r w:rsidR="0069476F" w:rsidRPr="00B63E94">
        <w:rPr>
          <w:rStyle w:val="FootnoteReference"/>
          <w:rFonts w:ascii="Times New Roman" w:eastAsia="Times New Roman" w:hAnsi="Times New Roman" w:cs="Times New Roman"/>
          <w:sz w:val="24"/>
          <w:szCs w:val="24"/>
          <w:lang w:val="en-US" w:eastAsia="en-US"/>
        </w:rPr>
        <w:footnoteReference w:id="61"/>
      </w:r>
      <w:r w:rsidR="00602856" w:rsidRPr="00B63E94">
        <w:rPr>
          <w:rFonts w:ascii="Times New Roman" w:eastAsia="Times New Roman" w:hAnsi="Times New Roman" w:cs="Times New Roman"/>
          <w:sz w:val="24"/>
          <w:szCs w:val="24"/>
          <w:lang w:val="en-US" w:eastAsia="en-US"/>
        </w:rPr>
        <w:t xml:space="preserve"> </w:t>
      </w:r>
      <w:r w:rsidR="0069476F" w:rsidRPr="00B63E94">
        <w:rPr>
          <w:rFonts w:ascii="Times New Roman" w:eastAsia="Times New Roman" w:hAnsi="Times New Roman" w:cs="Times New Roman"/>
          <w:sz w:val="24"/>
          <w:szCs w:val="24"/>
          <w:lang w:val="en-US" w:eastAsia="en-US"/>
        </w:rPr>
        <w:t>T</w:t>
      </w:r>
      <w:r w:rsidR="00602856" w:rsidRPr="00B63E94">
        <w:rPr>
          <w:rFonts w:ascii="Times New Roman" w:eastAsia="Times New Roman" w:hAnsi="Times New Roman" w:cs="Times New Roman"/>
          <w:sz w:val="24"/>
          <w:szCs w:val="24"/>
          <w:lang w:val="en-US" w:eastAsia="en-US"/>
        </w:rPr>
        <w:t>his raises some difficult questions about whether public policy should ever assume that everyone must seek work</w:t>
      </w:r>
      <w:r w:rsidR="00872612" w:rsidRPr="00B63E94">
        <w:rPr>
          <w:rFonts w:ascii="Times New Roman" w:eastAsia="Times New Roman" w:hAnsi="Times New Roman" w:cs="Times New Roman"/>
          <w:sz w:val="24"/>
          <w:szCs w:val="24"/>
          <w:lang w:val="en-US" w:eastAsia="en-US"/>
        </w:rPr>
        <w:t xml:space="preserve"> without a corresponding revision of what valued work means</w:t>
      </w:r>
      <w:r w:rsidR="00602856" w:rsidRPr="00B63E94">
        <w:rPr>
          <w:rFonts w:ascii="Times New Roman" w:eastAsia="Times New Roman" w:hAnsi="Times New Roman" w:cs="Times New Roman"/>
          <w:sz w:val="24"/>
          <w:szCs w:val="24"/>
          <w:lang w:val="en-US" w:eastAsia="en-US"/>
        </w:rPr>
        <w:t>.</w:t>
      </w:r>
      <w:r w:rsidR="0069476F" w:rsidRPr="00B63E94">
        <w:rPr>
          <w:rStyle w:val="FootnoteReference"/>
          <w:rFonts w:ascii="Times New Roman" w:eastAsia="Times New Roman" w:hAnsi="Times New Roman" w:cs="Times New Roman"/>
          <w:sz w:val="24"/>
          <w:szCs w:val="24"/>
          <w:lang w:val="en-US" w:eastAsia="en-US"/>
        </w:rPr>
        <w:footnoteReference w:id="62"/>
      </w:r>
      <w:r w:rsidR="00872612" w:rsidRPr="00B63E94">
        <w:rPr>
          <w:rFonts w:ascii="Times New Roman" w:eastAsia="Times New Roman" w:hAnsi="Times New Roman" w:cs="Times New Roman"/>
          <w:sz w:val="24"/>
          <w:szCs w:val="24"/>
          <w:lang w:val="en-US" w:eastAsia="en-US"/>
        </w:rPr>
        <w:t xml:space="preserve"> </w:t>
      </w:r>
    </w:p>
    <w:p w14:paraId="56889E9C" w14:textId="77777777" w:rsidR="00497C05" w:rsidRPr="00B63E94" w:rsidRDefault="00516C3B" w:rsidP="00283D6C">
      <w:pPr>
        <w:pStyle w:val="Heading2"/>
        <w:rPr>
          <w:lang w:val="en-US" w:eastAsia="en-US"/>
        </w:rPr>
      </w:pPr>
      <w:r w:rsidRPr="00B63E94">
        <w:rPr>
          <w:lang w:val="en-US" w:eastAsia="en-US"/>
        </w:rPr>
        <w:t>Factors affecting employment</w:t>
      </w:r>
    </w:p>
    <w:p w14:paraId="5239A827" w14:textId="0A903342" w:rsidR="00516C3B" w:rsidRPr="00B63E94" w:rsidRDefault="00516C3B" w:rsidP="00F22086">
      <w:pPr>
        <w:pStyle w:val="BodyText"/>
        <w:jc w:val="both"/>
        <w:rPr>
          <w:rFonts w:ascii="Times New Roman" w:hAnsi="Times New Roman"/>
        </w:rPr>
      </w:pPr>
      <w:r w:rsidRPr="00B63E94">
        <w:rPr>
          <w:rFonts w:ascii="Times New Roman" w:hAnsi="Times New Roman"/>
        </w:rPr>
        <w:t xml:space="preserve">As noted </w:t>
      </w:r>
      <w:r w:rsidR="00FF6417" w:rsidRPr="00B63E94">
        <w:rPr>
          <w:rFonts w:ascii="Times New Roman" w:hAnsi="Times New Roman"/>
        </w:rPr>
        <w:t xml:space="preserve">above and </w:t>
      </w:r>
      <w:r w:rsidRPr="00B63E94">
        <w:rPr>
          <w:rFonts w:ascii="Times New Roman" w:hAnsi="Times New Roman"/>
        </w:rPr>
        <w:t xml:space="preserve">at the beginning of this chapter, </w:t>
      </w:r>
      <w:r w:rsidR="004138A2" w:rsidRPr="00B63E94">
        <w:rPr>
          <w:rFonts w:ascii="Times New Roman" w:hAnsi="Times New Roman"/>
        </w:rPr>
        <w:t xml:space="preserve">political discourse often conveys </w:t>
      </w:r>
      <w:r w:rsidRPr="00B63E94">
        <w:rPr>
          <w:rFonts w:ascii="Times New Roman" w:hAnsi="Times New Roman"/>
        </w:rPr>
        <w:t>employment as a precondition for successful participation in adult society</w:t>
      </w:r>
      <w:r w:rsidR="004138A2" w:rsidRPr="00B63E94">
        <w:rPr>
          <w:rFonts w:ascii="Times New Roman" w:hAnsi="Times New Roman"/>
        </w:rPr>
        <w:t xml:space="preserve">, </w:t>
      </w:r>
      <w:r w:rsidR="00702227" w:rsidRPr="00B63E94">
        <w:rPr>
          <w:rFonts w:ascii="Times New Roman" w:hAnsi="Times New Roman"/>
        </w:rPr>
        <w:t xml:space="preserve">and </w:t>
      </w:r>
      <w:r w:rsidR="004138A2" w:rsidRPr="00B63E94">
        <w:rPr>
          <w:rFonts w:ascii="Times New Roman" w:hAnsi="Times New Roman"/>
        </w:rPr>
        <w:t xml:space="preserve">as a means to </w:t>
      </w:r>
      <w:r w:rsidRPr="00B63E94">
        <w:rPr>
          <w:rFonts w:ascii="Times New Roman" w:hAnsi="Times New Roman"/>
        </w:rPr>
        <w:t>both social status and security</w:t>
      </w:r>
      <w:r w:rsidR="004138A2" w:rsidRPr="00B63E94">
        <w:rPr>
          <w:rFonts w:ascii="Times New Roman" w:hAnsi="Times New Roman"/>
        </w:rPr>
        <w:t>.</w:t>
      </w:r>
      <w:r w:rsidR="0069476F" w:rsidRPr="00B63E94">
        <w:rPr>
          <w:rStyle w:val="FootnoteReference"/>
          <w:rFonts w:ascii="Times New Roman" w:hAnsi="Times New Roman"/>
        </w:rPr>
        <w:footnoteReference w:id="63"/>
      </w:r>
      <w:r w:rsidR="004138A2" w:rsidRPr="00B63E94">
        <w:rPr>
          <w:rFonts w:ascii="Times New Roman" w:hAnsi="Times New Roman"/>
        </w:rPr>
        <w:t xml:space="preserve"> I</w:t>
      </w:r>
      <w:r w:rsidRPr="00B63E94">
        <w:rPr>
          <w:rFonts w:ascii="Times New Roman" w:hAnsi="Times New Roman"/>
        </w:rPr>
        <w:t xml:space="preserve">ncreasing the employment participation of disabled people has been credited </w:t>
      </w:r>
      <w:r w:rsidR="004138A2" w:rsidRPr="00B63E94">
        <w:rPr>
          <w:rFonts w:ascii="Times New Roman" w:hAnsi="Times New Roman"/>
        </w:rPr>
        <w:t xml:space="preserve">also </w:t>
      </w:r>
      <w:r w:rsidRPr="00B63E94">
        <w:rPr>
          <w:rFonts w:ascii="Times New Roman" w:hAnsi="Times New Roman"/>
        </w:rPr>
        <w:t>with bringing benefits to wider society</w:t>
      </w:r>
      <w:r w:rsidR="0006083E">
        <w:rPr>
          <w:rFonts w:ascii="Times New Roman" w:hAnsi="Times New Roman"/>
        </w:rPr>
        <w:t>, since</w:t>
      </w:r>
      <w:r w:rsidRPr="00B63E94">
        <w:rPr>
          <w:rFonts w:ascii="Times New Roman" w:hAnsi="Times New Roman"/>
        </w:rPr>
        <w:t xml:space="preserve"> disabled people’s cost to the economy </w:t>
      </w:r>
      <w:r w:rsidR="0006083E">
        <w:rPr>
          <w:rFonts w:ascii="Times New Roman" w:hAnsi="Times New Roman"/>
        </w:rPr>
        <w:t>may be</w:t>
      </w:r>
      <w:r w:rsidR="0006083E" w:rsidRPr="00B63E94">
        <w:rPr>
          <w:rFonts w:ascii="Times New Roman" w:hAnsi="Times New Roman"/>
        </w:rPr>
        <w:t xml:space="preserve"> </w:t>
      </w:r>
      <w:r w:rsidRPr="00B63E94">
        <w:rPr>
          <w:rFonts w:ascii="Times New Roman" w:hAnsi="Times New Roman"/>
        </w:rPr>
        <w:t>lower and their economic contribution greater when they are in pa</w:t>
      </w:r>
      <w:r w:rsidR="0069476F" w:rsidRPr="00B63E94">
        <w:rPr>
          <w:rFonts w:ascii="Times New Roman" w:hAnsi="Times New Roman"/>
        </w:rPr>
        <w:t>i</w:t>
      </w:r>
      <w:r w:rsidRPr="00B63E94">
        <w:rPr>
          <w:rFonts w:ascii="Times New Roman" w:hAnsi="Times New Roman"/>
        </w:rPr>
        <w:t>d work.</w:t>
      </w:r>
      <w:r w:rsidR="0069476F" w:rsidRPr="00B63E94">
        <w:rPr>
          <w:rStyle w:val="FootnoteReference"/>
          <w:rFonts w:ascii="Times New Roman" w:hAnsi="Times New Roman"/>
        </w:rPr>
        <w:footnoteReference w:id="64"/>
      </w:r>
      <w:r w:rsidRPr="00B63E94">
        <w:rPr>
          <w:rFonts w:ascii="Times New Roman" w:hAnsi="Times New Roman"/>
        </w:rPr>
        <w:t xml:space="preserve"> However, it is also clear that the long-standing marginalisation of disabled people </w:t>
      </w:r>
      <w:r w:rsidRPr="00B63E94">
        <w:rPr>
          <w:rFonts w:ascii="Times New Roman" w:hAnsi="Times New Roman"/>
        </w:rPr>
        <w:lastRenderedPageBreak/>
        <w:t>from full participation and equality in working life has deep roots in societal attitudes, institutionali</w:t>
      </w:r>
      <w:r w:rsidR="00702227" w:rsidRPr="00B63E94">
        <w:rPr>
          <w:rFonts w:ascii="Times New Roman" w:hAnsi="Times New Roman"/>
        </w:rPr>
        <w:t>s</w:t>
      </w:r>
      <w:r w:rsidRPr="00B63E94">
        <w:rPr>
          <w:rFonts w:ascii="Times New Roman" w:hAnsi="Times New Roman"/>
        </w:rPr>
        <w:t xml:space="preserve">ed discrimination, and environmental barriers </w:t>
      </w:r>
      <w:r w:rsidR="00AD19DA" w:rsidRPr="00B63E94">
        <w:rPr>
          <w:rStyle w:val="FootnoteReference"/>
          <w:rFonts w:ascii="Times New Roman" w:hAnsi="Times New Roman"/>
        </w:rPr>
        <w:footnoteReference w:id="65"/>
      </w:r>
    </w:p>
    <w:p w14:paraId="08F4C613" w14:textId="31977F8B" w:rsidR="004138A2" w:rsidRPr="00B63E94" w:rsidRDefault="004138A2" w:rsidP="00F22086">
      <w:pPr>
        <w:pStyle w:val="BodyText"/>
        <w:jc w:val="both"/>
        <w:rPr>
          <w:rFonts w:ascii="Times New Roman" w:hAnsi="Times New Roman"/>
        </w:rPr>
      </w:pPr>
      <w:r w:rsidRPr="00B63E94">
        <w:rPr>
          <w:rFonts w:ascii="Times New Roman" w:hAnsi="Times New Roman"/>
        </w:rPr>
        <w:t xml:space="preserve">A number of social and physical barriers have been identified that affect </w:t>
      </w:r>
      <w:r w:rsidR="0069476F" w:rsidRPr="00B63E94">
        <w:rPr>
          <w:rFonts w:ascii="Times New Roman" w:hAnsi="Times New Roman"/>
        </w:rPr>
        <w:t xml:space="preserve">the opportunity of </w:t>
      </w:r>
      <w:r w:rsidRPr="00B63E94">
        <w:rPr>
          <w:rFonts w:ascii="Times New Roman" w:hAnsi="Times New Roman"/>
        </w:rPr>
        <w:t xml:space="preserve">disabled people’s </w:t>
      </w:r>
      <w:r w:rsidR="0069476F" w:rsidRPr="00B63E94">
        <w:rPr>
          <w:rFonts w:ascii="Times New Roman" w:hAnsi="Times New Roman"/>
        </w:rPr>
        <w:t xml:space="preserve">to obtain </w:t>
      </w:r>
      <w:r w:rsidRPr="00B63E94">
        <w:rPr>
          <w:rFonts w:ascii="Times New Roman" w:hAnsi="Times New Roman"/>
        </w:rPr>
        <w:t xml:space="preserve">employment. For example, the willingness of employers to hire disabled employees is often cited as a key factor </w:t>
      </w:r>
      <w:r w:rsidR="00702227" w:rsidRPr="00B63E94">
        <w:rPr>
          <w:rFonts w:ascii="Times New Roman" w:hAnsi="Times New Roman"/>
        </w:rPr>
        <w:t>hampering</w:t>
      </w:r>
      <w:r w:rsidRPr="00B63E94">
        <w:rPr>
          <w:rFonts w:ascii="Times New Roman" w:hAnsi="Times New Roman"/>
        </w:rPr>
        <w:t xml:space="preserve"> equality of opportunity, particularly in relation to direct recruitment discrimination in small private sector firms, and this may indicate a need for public policies that promote equality through public education and positive information messages. </w:t>
      </w:r>
      <w:proofErr w:type="gramStart"/>
      <w:r w:rsidR="002F1B0C" w:rsidRPr="00B63E94">
        <w:rPr>
          <w:rFonts w:ascii="Times New Roman" w:hAnsi="Times New Roman"/>
        </w:rPr>
        <w:t>Access to an effective employment support system</w:t>
      </w:r>
      <w:r w:rsidRPr="00B63E94">
        <w:rPr>
          <w:rFonts w:ascii="Times New Roman" w:hAnsi="Times New Roman"/>
        </w:rPr>
        <w:t xml:space="preserve">, </w:t>
      </w:r>
      <w:r w:rsidR="002F1B0C" w:rsidRPr="00B63E94">
        <w:rPr>
          <w:rFonts w:ascii="Times New Roman" w:hAnsi="Times New Roman"/>
        </w:rPr>
        <w:t>previous</w:t>
      </w:r>
      <w:r w:rsidRPr="00B63E94">
        <w:rPr>
          <w:rFonts w:ascii="Times New Roman" w:hAnsi="Times New Roman"/>
        </w:rPr>
        <w:t xml:space="preserve"> experience of having disabled employee</w:t>
      </w:r>
      <w:r w:rsidR="002F1B0C" w:rsidRPr="00B63E94">
        <w:rPr>
          <w:rFonts w:ascii="Times New Roman" w:hAnsi="Times New Roman"/>
        </w:rPr>
        <w:t>s</w:t>
      </w:r>
      <w:r w:rsidRPr="00B63E94">
        <w:rPr>
          <w:rFonts w:ascii="Times New Roman" w:hAnsi="Times New Roman"/>
        </w:rPr>
        <w:t xml:space="preserve">, or </w:t>
      </w:r>
      <w:r w:rsidR="002F1B0C" w:rsidRPr="00B63E94">
        <w:rPr>
          <w:rFonts w:ascii="Times New Roman" w:hAnsi="Times New Roman"/>
        </w:rPr>
        <w:t xml:space="preserve">personal </w:t>
      </w:r>
      <w:r w:rsidRPr="00B63E94">
        <w:rPr>
          <w:rFonts w:ascii="Times New Roman" w:hAnsi="Times New Roman"/>
        </w:rPr>
        <w:t>in</w:t>
      </w:r>
      <w:r w:rsidR="002F1B0C" w:rsidRPr="00B63E94">
        <w:rPr>
          <w:rFonts w:ascii="Times New Roman" w:hAnsi="Times New Roman"/>
        </w:rPr>
        <w:t>teraction with disabled people have been shown to</w:t>
      </w:r>
      <w:r w:rsidR="00702227" w:rsidRPr="00B63E94">
        <w:rPr>
          <w:rFonts w:ascii="Times New Roman" w:hAnsi="Times New Roman"/>
        </w:rPr>
        <w:t xml:space="preserve"> increase the willingness of employers to hire a disabled person</w:t>
      </w:r>
      <w:r w:rsidR="00F743DA" w:rsidRPr="00B63E94">
        <w:rPr>
          <w:rFonts w:ascii="Times New Roman" w:hAnsi="Times New Roman"/>
        </w:rPr>
        <w:t>.</w:t>
      </w:r>
      <w:proofErr w:type="gramEnd"/>
      <w:r w:rsidR="00FF6417" w:rsidRPr="00B63E94">
        <w:rPr>
          <w:rStyle w:val="FootnoteReference"/>
          <w:rFonts w:ascii="Times New Roman" w:hAnsi="Times New Roman"/>
        </w:rPr>
        <w:footnoteReference w:id="66"/>
      </w:r>
      <w:r w:rsidR="002F1B0C" w:rsidRPr="00B63E94">
        <w:rPr>
          <w:rFonts w:ascii="Times New Roman" w:hAnsi="Times New Roman"/>
        </w:rPr>
        <w:t xml:space="preserve"> From the perspective of disabled workers, the existence of negative societal attitudes, fear of stigmati</w:t>
      </w:r>
      <w:r w:rsidR="0069476F" w:rsidRPr="00B63E94">
        <w:rPr>
          <w:rFonts w:ascii="Times New Roman" w:hAnsi="Times New Roman"/>
        </w:rPr>
        <w:t>s</w:t>
      </w:r>
      <w:r w:rsidR="002F1B0C" w:rsidRPr="00B63E94">
        <w:rPr>
          <w:rFonts w:ascii="Times New Roman" w:hAnsi="Times New Roman"/>
        </w:rPr>
        <w:t xml:space="preserve">ation, low expectations, fears of rejection or being labelled as unproductive are amongst the </w:t>
      </w:r>
      <w:r w:rsidR="0069476F" w:rsidRPr="00B63E94">
        <w:rPr>
          <w:rFonts w:ascii="Times New Roman" w:hAnsi="Times New Roman"/>
        </w:rPr>
        <w:t xml:space="preserve">factors which can </w:t>
      </w:r>
      <w:r w:rsidR="002F1B0C" w:rsidRPr="00B63E94">
        <w:rPr>
          <w:rFonts w:ascii="Times New Roman" w:hAnsi="Times New Roman"/>
        </w:rPr>
        <w:t>hinder</w:t>
      </w:r>
      <w:r w:rsidR="0069476F" w:rsidRPr="00B63E94">
        <w:rPr>
          <w:rFonts w:ascii="Times New Roman" w:hAnsi="Times New Roman"/>
        </w:rPr>
        <w:t xml:space="preserve"> employment</w:t>
      </w:r>
      <w:r w:rsidR="00FF6417" w:rsidRPr="00B63E94">
        <w:rPr>
          <w:rFonts w:ascii="Times New Roman" w:hAnsi="Times New Roman"/>
        </w:rPr>
        <w:t>.</w:t>
      </w:r>
      <w:r w:rsidR="00FF6417" w:rsidRPr="00B63E94">
        <w:rPr>
          <w:rStyle w:val="FootnoteReference"/>
          <w:rFonts w:ascii="Times New Roman" w:hAnsi="Times New Roman"/>
        </w:rPr>
        <w:footnoteReference w:id="67"/>
      </w:r>
      <w:r w:rsidR="002F1B0C" w:rsidRPr="00B63E94">
        <w:rPr>
          <w:rFonts w:ascii="Times New Roman" w:hAnsi="Times New Roman"/>
        </w:rPr>
        <w:t xml:space="preserve"> The attitudes of employers and co-workers are clearly important </w:t>
      </w:r>
      <w:r w:rsidR="0069476F" w:rsidRPr="00B63E94">
        <w:rPr>
          <w:rFonts w:ascii="Times New Roman" w:hAnsi="Times New Roman"/>
        </w:rPr>
        <w:t xml:space="preserve">in </w:t>
      </w:r>
      <w:r w:rsidR="00FF6417" w:rsidRPr="00B63E94">
        <w:rPr>
          <w:rFonts w:ascii="Times New Roman" w:hAnsi="Times New Roman"/>
        </w:rPr>
        <w:t>shaping</w:t>
      </w:r>
      <w:r w:rsidR="002F1B0C" w:rsidRPr="00B63E94">
        <w:rPr>
          <w:rFonts w:ascii="Times New Roman" w:hAnsi="Times New Roman"/>
        </w:rPr>
        <w:t xml:space="preserve"> social barriers to equali</w:t>
      </w:r>
      <w:r w:rsidR="00FF6417" w:rsidRPr="00B63E94">
        <w:rPr>
          <w:rFonts w:ascii="Times New Roman" w:hAnsi="Times New Roman"/>
        </w:rPr>
        <w:t>ty</w:t>
      </w:r>
      <w:r w:rsidR="002F1B0C" w:rsidRPr="00B63E94">
        <w:rPr>
          <w:rFonts w:ascii="Times New Roman" w:hAnsi="Times New Roman"/>
        </w:rPr>
        <w:t xml:space="preserve"> employment opportunit</w:t>
      </w:r>
      <w:r w:rsidR="0069476F" w:rsidRPr="00B63E94">
        <w:rPr>
          <w:rFonts w:ascii="Times New Roman" w:hAnsi="Times New Roman"/>
        </w:rPr>
        <w:t>ies,</w:t>
      </w:r>
      <w:r w:rsidR="002F1B0C" w:rsidRPr="00B63E94">
        <w:rPr>
          <w:rFonts w:ascii="Times New Roman" w:hAnsi="Times New Roman"/>
        </w:rPr>
        <w:t xml:space="preserve"> but there are physical barriers too.</w:t>
      </w:r>
      <w:r w:rsidR="00D1534C" w:rsidRPr="00B63E94">
        <w:rPr>
          <w:rFonts w:ascii="Times New Roman" w:hAnsi="Times New Roman"/>
        </w:rPr>
        <w:t xml:space="preserve"> </w:t>
      </w:r>
      <w:r w:rsidR="002F1B0C" w:rsidRPr="00B63E94">
        <w:rPr>
          <w:rFonts w:ascii="Times New Roman" w:hAnsi="Times New Roman"/>
        </w:rPr>
        <w:t>The a</w:t>
      </w:r>
      <w:r w:rsidRPr="00B63E94">
        <w:rPr>
          <w:rFonts w:ascii="Times New Roman" w:hAnsi="Times New Roman"/>
        </w:rPr>
        <w:t xml:space="preserve">ccessibility of the </w:t>
      </w:r>
      <w:r w:rsidR="002F1B0C" w:rsidRPr="00B63E94">
        <w:rPr>
          <w:rFonts w:ascii="Times New Roman" w:hAnsi="Times New Roman"/>
        </w:rPr>
        <w:t>built</w:t>
      </w:r>
      <w:r w:rsidRPr="00B63E94">
        <w:rPr>
          <w:rFonts w:ascii="Times New Roman" w:hAnsi="Times New Roman"/>
        </w:rPr>
        <w:t xml:space="preserve"> environment</w:t>
      </w:r>
      <w:r w:rsidR="002F1B0C" w:rsidRPr="00B63E94">
        <w:rPr>
          <w:rFonts w:ascii="Times New Roman" w:hAnsi="Times New Roman"/>
        </w:rPr>
        <w:t xml:space="preserve">, </w:t>
      </w:r>
      <w:r w:rsidRPr="00B63E94">
        <w:rPr>
          <w:rFonts w:ascii="Times New Roman" w:hAnsi="Times New Roman"/>
        </w:rPr>
        <w:t>transport systems</w:t>
      </w:r>
      <w:r w:rsidR="002F1B0C" w:rsidRPr="00B63E94">
        <w:rPr>
          <w:rFonts w:ascii="Times New Roman" w:hAnsi="Times New Roman"/>
        </w:rPr>
        <w:t xml:space="preserve"> and information technologies is also of critical importance</w:t>
      </w:r>
      <w:r w:rsidR="00702227" w:rsidRPr="00B63E94">
        <w:rPr>
          <w:rFonts w:ascii="Times New Roman" w:hAnsi="Times New Roman"/>
        </w:rPr>
        <w:t xml:space="preserve"> for employment</w:t>
      </w:r>
      <w:r w:rsidR="002F1B0C" w:rsidRPr="00B63E94">
        <w:rPr>
          <w:rFonts w:ascii="Times New Roman" w:hAnsi="Times New Roman"/>
        </w:rPr>
        <w:t xml:space="preserve">. The </w:t>
      </w:r>
      <w:r w:rsidRPr="00B63E94">
        <w:rPr>
          <w:rFonts w:ascii="Times New Roman" w:hAnsi="Times New Roman"/>
        </w:rPr>
        <w:t>availability of reasonable accommodation</w:t>
      </w:r>
      <w:r w:rsidR="002F1B0C" w:rsidRPr="00B63E94">
        <w:rPr>
          <w:rFonts w:ascii="Times New Roman" w:hAnsi="Times New Roman"/>
        </w:rPr>
        <w:t>s</w:t>
      </w:r>
      <w:r w:rsidR="00D1534C" w:rsidRPr="00B63E94">
        <w:rPr>
          <w:rFonts w:ascii="Times New Roman" w:hAnsi="Times New Roman"/>
        </w:rPr>
        <w:t xml:space="preserve"> in the work place</w:t>
      </w:r>
      <w:r w:rsidRPr="00B63E94">
        <w:rPr>
          <w:rFonts w:ascii="Times New Roman" w:hAnsi="Times New Roman"/>
        </w:rPr>
        <w:t>, vocational rehabilitation and training, transition program</w:t>
      </w:r>
      <w:r w:rsidR="00702227" w:rsidRPr="00B63E94">
        <w:rPr>
          <w:rFonts w:ascii="Times New Roman" w:hAnsi="Times New Roman"/>
        </w:rPr>
        <w:t>me</w:t>
      </w:r>
      <w:r w:rsidRPr="00B63E94">
        <w:rPr>
          <w:rFonts w:ascii="Times New Roman" w:hAnsi="Times New Roman"/>
        </w:rPr>
        <w:t xml:space="preserve">s, flexible working conditions, on-the-job support </w:t>
      </w:r>
      <w:r w:rsidR="002F1B0C" w:rsidRPr="00B63E94">
        <w:rPr>
          <w:rFonts w:ascii="Times New Roman" w:hAnsi="Times New Roman"/>
        </w:rPr>
        <w:t xml:space="preserve">and job </w:t>
      </w:r>
      <w:r w:rsidRPr="00B63E94">
        <w:rPr>
          <w:rFonts w:ascii="Times New Roman" w:hAnsi="Times New Roman"/>
        </w:rPr>
        <w:t xml:space="preserve">quality </w:t>
      </w:r>
      <w:r w:rsidR="002F1B0C" w:rsidRPr="00B63E94">
        <w:rPr>
          <w:rFonts w:ascii="Times New Roman" w:hAnsi="Times New Roman"/>
        </w:rPr>
        <w:t>are</w:t>
      </w:r>
      <w:r w:rsidRPr="00B63E94">
        <w:rPr>
          <w:rFonts w:ascii="Times New Roman" w:hAnsi="Times New Roman"/>
        </w:rPr>
        <w:t xml:space="preserve"> amongst the factors </w:t>
      </w:r>
      <w:r w:rsidR="00D1534C" w:rsidRPr="00B63E94">
        <w:rPr>
          <w:rFonts w:ascii="Times New Roman" w:hAnsi="Times New Roman"/>
        </w:rPr>
        <w:t xml:space="preserve">that </w:t>
      </w:r>
      <w:r w:rsidR="00702227" w:rsidRPr="00B63E94">
        <w:rPr>
          <w:rFonts w:ascii="Times New Roman" w:hAnsi="Times New Roman"/>
        </w:rPr>
        <w:t>influence employment rates of disabled persons</w:t>
      </w:r>
      <w:r w:rsidRPr="00B63E94">
        <w:rPr>
          <w:rFonts w:ascii="Times New Roman" w:hAnsi="Times New Roman"/>
        </w:rPr>
        <w:t>.</w:t>
      </w:r>
      <w:r w:rsidR="00FF6417" w:rsidRPr="00B63E94">
        <w:rPr>
          <w:rStyle w:val="FootnoteReference"/>
          <w:rFonts w:ascii="Times New Roman" w:hAnsi="Times New Roman"/>
        </w:rPr>
        <w:footnoteReference w:id="68"/>
      </w:r>
      <w:r w:rsidRPr="00B63E94">
        <w:rPr>
          <w:rFonts w:ascii="Times New Roman" w:hAnsi="Times New Roman"/>
        </w:rPr>
        <w:t xml:space="preserve"> </w:t>
      </w:r>
    </w:p>
    <w:p w14:paraId="315F7B94" w14:textId="1C04C8CC" w:rsidR="00D1534C" w:rsidRPr="00B63E94" w:rsidRDefault="00D1534C"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 xml:space="preserve">In his writings on the social model of disability, Oliver highlighted how </w:t>
      </w:r>
      <w:proofErr w:type="gramStart"/>
      <w:r w:rsidR="0039218A" w:rsidRPr="00B63E94">
        <w:rPr>
          <w:rFonts w:ascii="Times New Roman" w:eastAsia="Times New Roman" w:hAnsi="Times New Roman" w:cs="Times New Roman"/>
          <w:sz w:val="24"/>
          <w:szCs w:val="24"/>
          <w:lang w:val="en-US" w:eastAsia="en-US"/>
        </w:rPr>
        <w:t xml:space="preserve">disability, and our responses to it, </w:t>
      </w:r>
      <w:r w:rsidR="00702227" w:rsidRPr="00B63E94">
        <w:rPr>
          <w:rFonts w:ascii="Times New Roman" w:eastAsia="Times New Roman" w:hAnsi="Times New Roman" w:cs="Times New Roman"/>
          <w:sz w:val="24"/>
          <w:szCs w:val="24"/>
          <w:lang w:val="en-US" w:eastAsia="en-US"/>
        </w:rPr>
        <w:t>are</w:t>
      </w:r>
      <w:proofErr w:type="gramEnd"/>
      <w:r w:rsidRPr="00B63E94">
        <w:rPr>
          <w:rFonts w:ascii="Times New Roman" w:eastAsia="Times New Roman" w:hAnsi="Times New Roman" w:cs="Times New Roman"/>
          <w:sz w:val="24"/>
          <w:szCs w:val="24"/>
          <w:lang w:val="en-US" w:eastAsia="en-US"/>
        </w:rPr>
        <w:t xml:space="preserve"> shaped by interactions between the mode of production and social values attached to the impaired body.</w:t>
      </w:r>
      <w:r w:rsidR="008C2232" w:rsidRPr="00B63E94">
        <w:rPr>
          <w:rStyle w:val="FootnoteReference"/>
          <w:rFonts w:ascii="Times New Roman" w:eastAsia="Times New Roman" w:hAnsi="Times New Roman" w:cs="Times New Roman"/>
          <w:sz w:val="24"/>
          <w:szCs w:val="24"/>
          <w:lang w:val="en-US" w:eastAsia="en-US"/>
        </w:rPr>
        <w:footnoteReference w:id="69"/>
      </w:r>
      <w:r w:rsidRPr="00B63E94">
        <w:rPr>
          <w:rFonts w:ascii="Times New Roman" w:eastAsia="Times New Roman" w:hAnsi="Times New Roman" w:cs="Times New Roman"/>
          <w:sz w:val="24"/>
          <w:szCs w:val="24"/>
          <w:lang w:val="en-US" w:eastAsia="en-US"/>
        </w:rPr>
        <w:t xml:space="preserve"> Thus, the industrial revolution and factory production </w:t>
      </w:r>
      <w:r w:rsidRPr="00B63E94">
        <w:rPr>
          <w:rFonts w:ascii="Times New Roman" w:eastAsia="Times New Roman" w:hAnsi="Times New Roman" w:cs="Times New Roman"/>
          <w:sz w:val="24"/>
          <w:szCs w:val="24"/>
          <w:lang w:val="en-US" w:eastAsia="en-US"/>
        </w:rPr>
        <w:lastRenderedPageBreak/>
        <w:t xml:space="preserve">methods gave rise to new ways of working and new types of worker, whereby mechanised manufacture became more common than agricultural work and the requirements </w:t>
      </w:r>
      <w:r w:rsidR="008C2232" w:rsidRPr="00B63E94">
        <w:rPr>
          <w:rFonts w:ascii="Times New Roman" w:eastAsia="Times New Roman" w:hAnsi="Times New Roman" w:cs="Times New Roman"/>
          <w:sz w:val="24"/>
          <w:szCs w:val="24"/>
          <w:lang w:val="en-US" w:eastAsia="en-US"/>
        </w:rPr>
        <w:t>imposed on</w:t>
      </w:r>
      <w:r w:rsidRPr="00B63E94">
        <w:rPr>
          <w:rFonts w:ascii="Times New Roman" w:eastAsia="Times New Roman" w:hAnsi="Times New Roman" w:cs="Times New Roman"/>
          <w:sz w:val="24"/>
          <w:szCs w:val="24"/>
          <w:lang w:val="en-US" w:eastAsia="en-US"/>
        </w:rPr>
        <w:t xml:space="preserve"> workers, </w:t>
      </w:r>
      <w:r w:rsidR="00702227" w:rsidRPr="00B63E94">
        <w:rPr>
          <w:rFonts w:ascii="Times New Roman" w:eastAsia="Times New Roman" w:hAnsi="Times New Roman" w:cs="Times New Roman"/>
          <w:sz w:val="24"/>
          <w:szCs w:val="24"/>
          <w:lang w:val="en-US" w:eastAsia="en-US"/>
        </w:rPr>
        <w:t>such as the ability to operate new</w:t>
      </w:r>
      <w:r w:rsidRPr="00B63E94">
        <w:rPr>
          <w:rFonts w:ascii="Times New Roman" w:eastAsia="Times New Roman" w:hAnsi="Times New Roman" w:cs="Times New Roman"/>
          <w:sz w:val="24"/>
          <w:szCs w:val="24"/>
          <w:lang w:val="en-US" w:eastAsia="en-US"/>
        </w:rPr>
        <w:t xml:space="preserve"> machines, became more standardised. In this way, Oliver and others argued that the impaired body became increasingly devalued in a competitive and routini</w:t>
      </w:r>
      <w:r w:rsidR="008C2232" w:rsidRPr="00B63E94">
        <w:rPr>
          <w:rFonts w:ascii="Times New Roman" w:eastAsia="Times New Roman" w:hAnsi="Times New Roman" w:cs="Times New Roman"/>
          <w:sz w:val="24"/>
          <w:szCs w:val="24"/>
          <w:lang w:val="en-US" w:eastAsia="en-US"/>
        </w:rPr>
        <w:t>s</w:t>
      </w:r>
      <w:r w:rsidRPr="00B63E94">
        <w:rPr>
          <w:rFonts w:ascii="Times New Roman" w:eastAsia="Times New Roman" w:hAnsi="Times New Roman" w:cs="Times New Roman"/>
          <w:sz w:val="24"/>
          <w:szCs w:val="24"/>
          <w:lang w:val="en-US" w:eastAsia="en-US"/>
        </w:rPr>
        <w:t>ed labour market geared to employer expectations of an average productive worker. The globalisation of industrial capital has disseminated such assumptions widely</w:t>
      </w:r>
      <w:r w:rsidR="008C2232" w:rsidRPr="00B63E94">
        <w:rPr>
          <w:rStyle w:val="FootnoteReference"/>
          <w:rFonts w:ascii="Times New Roman" w:eastAsia="Times New Roman" w:hAnsi="Times New Roman" w:cs="Times New Roman"/>
          <w:sz w:val="24"/>
          <w:szCs w:val="24"/>
          <w:lang w:val="en-US" w:eastAsia="en-US"/>
        </w:rPr>
        <w:footnoteReference w:id="70"/>
      </w:r>
      <w:r w:rsidRPr="00B63E94">
        <w:rPr>
          <w:rFonts w:ascii="Times New Roman" w:eastAsia="Times New Roman" w:hAnsi="Times New Roman" w:cs="Times New Roman"/>
          <w:sz w:val="24"/>
          <w:szCs w:val="24"/>
          <w:lang w:val="en-US" w:eastAsia="en-US"/>
        </w:rPr>
        <w:t xml:space="preserve"> and Kemp argues that technological developments have intensified the importance of higher level qualifications and skills</w:t>
      </w:r>
      <w:r w:rsidR="008C2232" w:rsidRPr="00B63E94">
        <w:rPr>
          <w:rFonts w:ascii="Times New Roman" w:eastAsia="Times New Roman" w:hAnsi="Times New Roman" w:cs="Times New Roman"/>
          <w:sz w:val="24"/>
          <w:szCs w:val="24"/>
          <w:lang w:val="en-US" w:eastAsia="en-US"/>
        </w:rPr>
        <w:t>,</w:t>
      </w:r>
      <w:r w:rsidRPr="00B63E94">
        <w:rPr>
          <w:rFonts w:ascii="Times New Roman" w:eastAsia="Times New Roman" w:hAnsi="Times New Roman" w:cs="Times New Roman"/>
          <w:sz w:val="24"/>
          <w:szCs w:val="24"/>
          <w:lang w:val="en-US" w:eastAsia="en-US"/>
        </w:rPr>
        <w:t xml:space="preserve"> while the demand for low-skilled workers </w:t>
      </w:r>
      <w:r w:rsidR="008C2232" w:rsidRPr="00B63E94">
        <w:rPr>
          <w:rFonts w:ascii="Times New Roman" w:eastAsia="Times New Roman" w:hAnsi="Times New Roman" w:cs="Times New Roman"/>
          <w:sz w:val="24"/>
          <w:szCs w:val="24"/>
          <w:lang w:val="en-US" w:eastAsia="en-US"/>
        </w:rPr>
        <w:t xml:space="preserve">has </w:t>
      </w:r>
      <w:r w:rsidRPr="00B63E94">
        <w:rPr>
          <w:rFonts w:ascii="Times New Roman" w:eastAsia="Times New Roman" w:hAnsi="Times New Roman" w:cs="Times New Roman"/>
          <w:sz w:val="24"/>
          <w:szCs w:val="24"/>
          <w:lang w:val="en-US" w:eastAsia="en-US"/>
        </w:rPr>
        <w:t>decline</w:t>
      </w:r>
      <w:r w:rsidR="008C2232" w:rsidRPr="00B63E94">
        <w:rPr>
          <w:rFonts w:ascii="Times New Roman" w:eastAsia="Times New Roman" w:hAnsi="Times New Roman" w:cs="Times New Roman"/>
          <w:sz w:val="24"/>
          <w:szCs w:val="24"/>
          <w:lang w:val="en-US" w:eastAsia="en-US"/>
        </w:rPr>
        <w:t>d</w:t>
      </w:r>
      <w:proofErr w:type="gramStart"/>
      <w:r w:rsidR="008C2232" w:rsidRPr="00B63E94">
        <w:rPr>
          <w:rFonts w:ascii="Times New Roman" w:eastAsia="Times New Roman" w:hAnsi="Times New Roman" w:cs="Times New Roman"/>
          <w:sz w:val="24"/>
          <w:szCs w:val="24"/>
          <w:lang w:val="en-US" w:eastAsia="en-US"/>
        </w:rPr>
        <w:t xml:space="preserve">, </w:t>
      </w:r>
      <w:r w:rsidRPr="00B63E94">
        <w:rPr>
          <w:rFonts w:ascii="Times New Roman" w:eastAsia="Times New Roman" w:hAnsi="Times New Roman" w:cs="Times New Roman"/>
          <w:sz w:val="24"/>
          <w:szCs w:val="24"/>
          <w:lang w:val="en-US" w:eastAsia="en-US"/>
        </w:rPr>
        <w:t xml:space="preserve"> further</w:t>
      </w:r>
      <w:proofErr w:type="gramEnd"/>
      <w:r w:rsidRPr="00B63E94">
        <w:rPr>
          <w:rFonts w:ascii="Times New Roman" w:eastAsia="Times New Roman" w:hAnsi="Times New Roman" w:cs="Times New Roman"/>
          <w:sz w:val="24"/>
          <w:szCs w:val="24"/>
          <w:lang w:val="en-US" w:eastAsia="en-US"/>
        </w:rPr>
        <w:t xml:space="preserve"> impacting on disabled people who are more likely to be educationally marginali</w:t>
      </w:r>
      <w:r w:rsidR="008C2232" w:rsidRPr="00B63E94">
        <w:rPr>
          <w:rFonts w:ascii="Times New Roman" w:eastAsia="Times New Roman" w:hAnsi="Times New Roman" w:cs="Times New Roman"/>
          <w:sz w:val="24"/>
          <w:szCs w:val="24"/>
          <w:lang w:val="en-US" w:eastAsia="en-US"/>
        </w:rPr>
        <w:t>s</w:t>
      </w:r>
      <w:r w:rsidRPr="00B63E94">
        <w:rPr>
          <w:rFonts w:ascii="Times New Roman" w:eastAsia="Times New Roman" w:hAnsi="Times New Roman" w:cs="Times New Roman"/>
          <w:sz w:val="24"/>
          <w:szCs w:val="24"/>
          <w:lang w:val="en-US" w:eastAsia="en-US"/>
        </w:rPr>
        <w:t>ed.</w:t>
      </w:r>
      <w:r w:rsidR="00FF6417" w:rsidRPr="00B63E94">
        <w:rPr>
          <w:rStyle w:val="FootnoteReference"/>
          <w:rFonts w:ascii="Times New Roman" w:eastAsia="Times New Roman" w:hAnsi="Times New Roman" w:cs="Times New Roman"/>
          <w:sz w:val="24"/>
          <w:szCs w:val="24"/>
          <w:lang w:val="en-US" w:eastAsia="en-US"/>
        </w:rPr>
        <w:footnoteReference w:id="71"/>
      </w:r>
    </w:p>
    <w:p w14:paraId="3714AAD7" w14:textId="77777777" w:rsidR="00D1534C" w:rsidRPr="00B63E94" w:rsidRDefault="00D1534C" w:rsidP="00F22086">
      <w:pPr>
        <w:spacing w:line="360" w:lineRule="auto"/>
        <w:jc w:val="both"/>
        <w:rPr>
          <w:rFonts w:ascii="Times New Roman" w:eastAsia="Times New Roman" w:hAnsi="Times New Roman" w:cs="Times New Roman"/>
          <w:sz w:val="24"/>
          <w:szCs w:val="24"/>
          <w:lang w:val="en-US" w:eastAsia="en-US"/>
        </w:rPr>
      </w:pPr>
      <w:r w:rsidRPr="00B63E94">
        <w:rPr>
          <w:rFonts w:ascii="Times New Roman" w:eastAsia="Times New Roman" w:hAnsi="Times New Roman" w:cs="Times New Roman"/>
          <w:sz w:val="24"/>
          <w:szCs w:val="24"/>
          <w:lang w:val="en-US" w:eastAsia="en-US"/>
        </w:rPr>
        <w:t xml:space="preserve">Changes in future markets may offer new opportunities for disabled adults to participate in economically productive labour. For example, much </w:t>
      </w:r>
      <w:r w:rsidR="00FF6417" w:rsidRPr="00B63E94">
        <w:rPr>
          <w:rFonts w:ascii="Times New Roman" w:eastAsia="Times New Roman" w:hAnsi="Times New Roman" w:cs="Times New Roman"/>
          <w:sz w:val="24"/>
          <w:szCs w:val="24"/>
          <w:lang w:val="en-US" w:eastAsia="en-US"/>
        </w:rPr>
        <w:t xml:space="preserve">hope </w:t>
      </w:r>
      <w:r w:rsidRPr="00B63E94">
        <w:rPr>
          <w:rFonts w:ascii="Times New Roman" w:eastAsia="Times New Roman" w:hAnsi="Times New Roman" w:cs="Times New Roman"/>
          <w:sz w:val="24"/>
          <w:szCs w:val="24"/>
          <w:lang w:val="en-US" w:eastAsia="en-US"/>
        </w:rPr>
        <w:t>has been placed on the potential impact of technology and flexible working in post-Fordist modes of production.</w:t>
      </w:r>
      <w:r w:rsidR="008C2232" w:rsidRPr="00B63E94">
        <w:rPr>
          <w:rStyle w:val="FootnoteReference"/>
          <w:rFonts w:ascii="Times New Roman" w:eastAsia="Times New Roman" w:hAnsi="Times New Roman" w:cs="Times New Roman"/>
          <w:sz w:val="24"/>
          <w:szCs w:val="24"/>
          <w:lang w:val="en-US" w:eastAsia="en-US"/>
        </w:rPr>
        <w:footnoteReference w:id="72"/>
      </w:r>
      <w:r w:rsidRPr="00B63E94">
        <w:rPr>
          <w:rFonts w:ascii="Times New Roman" w:eastAsia="Times New Roman" w:hAnsi="Times New Roman" w:cs="Times New Roman"/>
          <w:sz w:val="24"/>
          <w:szCs w:val="24"/>
          <w:lang w:val="en-US" w:eastAsia="en-US"/>
        </w:rPr>
        <w:t xml:space="preserve"> However, technologies are not isolated from the prevailing relations of production, and technology alone can be no guarantor of successful employment. As, Michailakis notes, ‘technological optimism’ often overlooks the embeddedness of technologies within economic, social and cultural contexts.</w:t>
      </w:r>
      <w:r w:rsidR="008C2232" w:rsidRPr="00B63E94">
        <w:rPr>
          <w:rStyle w:val="FootnoteReference"/>
          <w:rFonts w:ascii="Times New Roman" w:eastAsia="Times New Roman" w:hAnsi="Times New Roman" w:cs="Times New Roman"/>
          <w:sz w:val="24"/>
          <w:szCs w:val="24"/>
          <w:lang w:val="en-US" w:eastAsia="en-US"/>
        </w:rPr>
        <w:footnoteReference w:id="73"/>
      </w:r>
      <w:r w:rsidRPr="00B63E94">
        <w:rPr>
          <w:rFonts w:ascii="Times New Roman" w:eastAsia="Times New Roman" w:hAnsi="Times New Roman" w:cs="Times New Roman"/>
          <w:sz w:val="24"/>
          <w:szCs w:val="24"/>
          <w:lang w:val="en-US" w:eastAsia="en-US"/>
        </w:rPr>
        <w:t xml:space="preserve"> Similarly, Light questions uncritical approaches to the role of technology in achieving the employment goals of the Americans with Disabilities Act, expressing concern that technological developments in the information age may actually subvert progressive policies.</w:t>
      </w:r>
      <w:r w:rsidR="008C2232" w:rsidRPr="00B63E94">
        <w:rPr>
          <w:rStyle w:val="FootnoteReference"/>
          <w:rFonts w:ascii="Times New Roman" w:eastAsia="Times New Roman" w:hAnsi="Times New Roman" w:cs="Times New Roman"/>
          <w:sz w:val="24"/>
          <w:szCs w:val="24"/>
          <w:lang w:val="en-US" w:eastAsia="en-US"/>
        </w:rPr>
        <w:footnoteReference w:id="74"/>
      </w:r>
      <w:r w:rsidRPr="00B63E94">
        <w:rPr>
          <w:rFonts w:ascii="Times New Roman" w:eastAsia="Times New Roman" w:hAnsi="Times New Roman" w:cs="Times New Roman"/>
          <w:sz w:val="24"/>
          <w:szCs w:val="24"/>
          <w:lang w:val="en-US" w:eastAsia="en-US"/>
        </w:rPr>
        <w:t xml:space="preserve"> </w:t>
      </w:r>
      <w:r w:rsidR="008C2232" w:rsidRPr="00B63E94">
        <w:rPr>
          <w:rFonts w:ascii="Times New Roman" w:eastAsia="Times New Roman" w:hAnsi="Times New Roman" w:cs="Times New Roman"/>
          <w:sz w:val="24"/>
          <w:szCs w:val="24"/>
          <w:lang w:val="en-US" w:eastAsia="en-US"/>
        </w:rPr>
        <w:t xml:space="preserve">Thus, </w:t>
      </w:r>
      <w:r w:rsidRPr="00B63E94">
        <w:rPr>
          <w:rFonts w:ascii="Times New Roman" w:eastAsia="Times New Roman" w:hAnsi="Times New Roman" w:cs="Times New Roman"/>
          <w:sz w:val="24"/>
          <w:szCs w:val="24"/>
          <w:lang w:val="en-US" w:eastAsia="en-US"/>
        </w:rPr>
        <w:t xml:space="preserve">Levine and Nourse show how an increased reliance on information technology within competitive US labour markets works against the provision of </w:t>
      </w:r>
      <w:r w:rsidRPr="00B63E94">
        <w:rPr>
          <w:rFonts w:ascii="Times New Roman" w:eastAsia="Times New Roman" w:hAnsi="Times New Roman" w:cs="Times New Roman"/>
          <w:sz w:val="24"/>
          <w:szCs w:val="24"/>
          <w:lang w:val="en-US" w:eastAsia="en-US"/>
        </w:rPr>
        <w:lastRenderedPageBreak/>
        <w:t>job opportunities for young people with learning difficulties.</w:t>
      </w:r>
      <w:r w:rsidR="008C2232" w:rsidRPr="00B63E94">
        <w:rPr>
          <w:rStyle w:val="FootnoteReference"/>
          <w:rFonts w:ascii="Times New Roman" w:eastAsia="Times New Roman" w:hAnsi="Times New Roman" w:cs="Times New Roman"/>
          <w:sz w:val="24"/>
          <w:szCs w:val="24"/>
          <w:lang w:val="en-US" w:eastAsia="en-US"/>
        </w:rPr>
        <w:footnoteReference w:id="75"/>
      </w:r>
      <w:r w:rsidRPr="00B63E94">
        <w:rPr>
          <w:rFonts w:ascii="Times New Roman" w:eastAsia="Times New Roman" w:hAnsi="Times New Roman" w:cs="Times New Roman"/>
          <w:sz w:val="24"/>
          <w:szCs w:val="24"/>
          <w:lang w:val="en-US" w:eastAsia="en-US"/>
        </w:rPr>
        <w:t xml:space="preserve"> </w:t>
      </w:r>
      <w:r w:rsidR="00702227" w:rsidRPr="00B63E94">
        <w:rPr>
          <w:rFonts w:ascii="Times New Roman" w:eastAsia="Times New Roman" w:hAnsi="Times New Roman" w:cs="Times New Roman"/>
          <w:sz w:val="24"/>
          <w:szCs w:val="24"/>
          <w:lang w:val="en-US" w:eastAsia="en-US"/>
        </w:rPr>
        <w:t>R</w:t>
      </w:r>
      <w:r w:rsidRPr="00B63E94">
        <w:rPr>
          <w:rFonts w:ascii="Times New Roman" w:eastAsia="Times New Roman" w:hAnsi="Times New Roman" w:cs="Times New Roman"/>
          <w:sz w:val="24"/>
          <w:szCs w:val="24"/>
          <w:lang w:val="en-US" w:eastAsia="en-US"/>
        </w:rPr>
        <w:t xml:space="preserve">apid economic change </w:t>
      </w:r>
      <w:r w:rsidR="00702227" w:rsidRPr="00B63E94">
        <w:rPr>
          <w:rFonts w:ascii="Times New Roman" w:eastAsia="Times New Roman" w:hAnsi="Times New Roman" w:cs="Times New Roman"/>
          <w:sz w:val="24"/>
          <w:szCs w:val="24"/>
          <w:lang w:val="en-US" w:eastAsia="en-US"/>
        </w:rPr>
        <w:t xml:space="preserve">therefore </w:t>
      </w:r>
      <w:r w:rsidRPr="00B63E94">
        <w:rPr>
          <w:rFonts w:ascii="Times New Roman" w:eastAsia="Times New Roman" w:hAnsi="Times New Roman" w:cs="Times New Roman"/>
          <w:sz w:val="24"/>
          <w:szCs w:val="24"/>
          <w:lang w:val="en-US" w:eastAsia="en-US"/>
        </w:rPr>
        <w:t>brings with it both new opportunities and new forms of exclusion</w:t>
      </w:r>
      <w:r w:rsidR="004650FE" w:rsidRPr="00B63E94">
        <w:rPr>
          <w:rFonts w:ascii="Times New Roman" w:eastAsia="Times New Roman" w:hAnsi="Times New Roman" w:cs="Times New Roman"/>
          <w:sz w:val="24"/>
          <w:szCs w:val="24"/>
          <w:lang w:val="en-US" w:eastAsia="en-US"/>
        </w:rPr>
        <w:t>.</w:t>
      </w:r>
      <w:r w:rsidR="008C2232" w:rsidRPr="00B63E94">
        <w:rPr>
          <w:rStyle w:val="FootnoteReference"/>
          <w:rFonts w:ascii="Times New Roman" w:eastAsia="Times New Roman" w:hAnsi="Times New Roman" w:cs="Times New Roman"/>
          <w:sz w:val="24"/>
          <w:szCs w:val="24"/>
          <w:lang w:val="en-US" w:eastAsia="en-US"/>
        </w:rPr>
        <w:footnoteReference w:id="76"/>
      </w:r>
    </w:p>
    <w:p w14:paraId="2EEADE49" w14:textId="77777777" w:rsidR="00CD07F9" w:rsidRPr="00B63E94" w:rsidRDefault="00CD07F9" w:rsidP="00283D6C">
      <w:pPr>
        <w:pStyle w:val="Heading2"/>
        <w:rPr>
          <w:lang w:val="en-US" w:eastAsia="en-US"/>
        </w:rPr>
      </w:pPr>
      <w:r w:rsidRPr="00283D6C">
        <w:t>Conclusion</w:t>
      </w:r>
    </w:p>
    <w:p w14:paraId="45D48BE5" w14:textId="77777777" w:rsidR="00690AA5" w:rsidRDefault="004650FE" w:rsidP="00903E9B">
      <w:pPr>
        <w:spacing w:line="360" w:lineRule="auto"/>
        <w:jc w:val="both"/>
        <w:rPr>
          <w:rFonts w:ascii="Times New Roman" w:eastAsia="MS Mincho" w:hAnsi="Times New Roman" w:cs="Times New Roman"/>
          <w:sz w:val="24"/>
          <w:szCs w:val="24"/>
          <w:lang w:eastAsia="en-US"/>
        </w:rPr>
      </w:pPr>
      <w:r w:rsidRPr="00B63E94">
        <w:rPr>
          <w:rFonts w:ascii="Times New Roman" w:eastAsia="Times New Roman" w:hAnsi="Times New Roman" w:cs="Times New Roman"/>
          <w:sz w:val="24"/>
          <w:szCs w:val="24"/>
          <w:lang w:val="en-US" w:eastAsia="en-US"/>
        </w:rPr>
        <w:t>The policy discourse on disability and employment has clearly</w:t>
      </w:r>
      <w:r w:rsidR="00CD07F9" w:rsidRPr="00B63E94">
        <w:rPr>
          <w:rFonts w:ascii="Times New Roman" w:eastAsia="Times New Roman" w:hAnsi="Times New Roman" w:cs="Times New Roman"/>
          <w:sz w:val="24"/>
          <w:szCs w:val="24"/>
          <w:lang w:val="en-US" w:eastAsia="en-US"/>
        </w:rPr>
        <w:t xml:space="preserve"> shifted, from traditional </w:t>
      </w:r>
      <w:r w:rsidRPr="00B63E94">
        <w:rPr>
          <w:rFonts w:ascii="Times New Roman" w:eastAsia="Times New Roman" w:hAnsi="Times New Roman" w:cs="Times New Roman"/>
          <w:sz w:val="24"/>
          <w:szCs w:val="24"/>
          <w:lang w:val="en-US" w:eastAsia="en-US"/>
        </w:rPr>
        <w:t>narratives</w:t>
      </w:r>
      <w:r w:rsidR="00CD07F9" w:rsidRPr="00B63E94">
        <w:rPr>
          <w:rFonts w:ascii="Times New Roman" w:eastAsia="Times New Roman" w:hAnsi="Times New Roman" w:cs="Times New Roman"/>
          <w:sz w:val="24"/>
          <w:szCs w:val="24"/>
          <w:lang w:val="en-US" w:eastAsia="en-US"/>
        </w:rPr>
        <w:t xml:space="preserve"> of paternalism and </w:t>
      </w:r>
      <w:r w:rsidRPr="00B63E94">
        <w:rPr>
          <w:rFonts w:ascii="Times New Roman" w:eastAsia="Times New Roman" w:hAnsi="Times New Roman" w:cs="Times New Roman"/>
          <w:sz w:val="24"/>
          <w:szCs w:val="24"/>
          <w:lang w:val="en-US" w:eastAsia="en-US"/>
        </w:rPr>
        <w:t>compensation</w:t>
      </w:r>
      <w:r w:rsidR="00CD07F9" w:rsidRPr="00B63E94">
        <w:rPr>
          <w:rFonts w:ascii="Times New Roman" w:eastAsia="Times New Roman" w:hAnsi="Times New Roman" w:cs="Times New Roman"/>
          <w:sz w:val="24"/>
          <w:szCs w:val="24"/>
          <w:lang w:val="en-US" w:eastAsia="en-US"/>
        </w:rPr>
        <w:t xml:space="preserve"> towards arguments based on social inclusion and </w:t>
      </w:r>
      <w:r w:rsidRPr="00B63E94">
        <w:rPr>
          <w:rFonts w:ascii="Times New Roman" w:eastAsia="Times New Roman" w:hAnsi="Times New Roman" w:cs="Times New Roman"/>
          <w:sz w:val="24"/>
          <w:szCs w:val="24"/>
          <w:lang w:val="en-US" w:eastAsia="en-US"/>
        </w:rPr>
        <w:t>employment rights</w:t>
      </w:r>
      <w:r w:rsidR="00CD07F9" w:rsidRPr="00B63E94">
        <w:rPr>
          <w:rFonts w:ascii="Times New Roman" w:eastAsia="Times New Roman" w:hAnsi="Times New Roman" w:cs="Times New Roman"/>
          <w:sz w:val="24"/>
          <w:szCs w:val="24"/>
          <w:lang w:val="en-US" w:eastAsia="en-US"/>
        </w:rPr>
        <w:t xml:space="preserve">. </w:t>
      </w:r>
      <w:r w:rsidR="000D0F11" w:rsidRPr="00B63E94">
        <w:rPr>
          <w:rFonts w:ascii="Times New Roman" w:eastAsia="Times New Roman" w:hAnsi="Times New Roman" w:cs="Times New Roman"/>
          <w:sz w:val="24"/>
          <w:szCs w:val="24"/>
          <w:lang w:val="en-US" w:eastAsia="en-US"/>
        </w:rPr>
        <w:t xml:space="preserve">Yet the challenge </w:t>
      </w:r>
      <w:r w:rsidR="00702227" w:rsidRPr="00B63E94">
        <w:rPr>
          <w:rFonts w:ascii="Times New Roman" w:eastAsia="Times New Roman" w:hAnsi="Times New Roman" w:cs="Times New Roman"/>
          <w:sz w:val="24"/>
          <w:szCs w:val="24"/>
          <w:lang w:val="en-US" w:eastAsia="en-US"/>
        </w:rPr>
        <w:t>of achieving full</w:t>
      </w:r>
      <w:r w:rsidR="00F743DA" w:rsidRPr="00B63E94">
        <w:rPr>
          <w:rFonts w:ascii="Times New Roman" w:eastAsia="Times New Roman" w:hAnsi="Times New Roman" w:cs="Times New Roman"/>
          <w:sz w:val="24"/>
          <w:szCs w:val="24"/>
          <w:lang w:val="en-US" w:eastAsia="en-US"/>
        </w:rPr>
        <w:t xml:space="preserve"> </w:t>
      </w:r>
      <w:r w:rsidR="00702227" w:rsidRPr="00B63E94">
        <w:rPr>
          <w:rFonts w:ascii="Times New Roman" w:eastAsia="Times New Roman" w:hAnsi="Times New Roman" w:cs="Times New Roman"/>
          <w:sz w:val="24"/>
          <w:szCs w:val="24"/>
          <w:lang w:val="en-US" w:eastAsia="en-US"/>
        </w:rPr>
        <w:t xml:space="preserve">participation and equality in employment by disabled people </w:t>
      </w:r>
      <w:r w:rsidR="000D0F11" w:rsidRPr="00B63E94">
        <w:rPr>
          <w:rFonts w:ascii="Times New Roman" w:eastAsia="Times New Roman" w:hAnsi="Times New Roman" w:cs="Times New Roman"/>
          <w:sz w:val="24"/>
          <w:szCs w:val="24"/>
          <w:lang w:val="en-US" w:eastAsia="en-US"/>
        </w:rPr>
        <w:t xml:space="preserve">remains very great for policy makers. </w:t>
      </w:r>
      <w:r w:rsidR="000F6787" w:rsidRPr="00B63E94">
        <w:rPr>
          <w:rFonts w:ascii="Times New Roman" w:eastAsia="MS Mincho" w:hAnsi="Times New Roman" w:cs="Times New Roman"/>
          <w:sz w:val="24"/>
          <w:szCs w:val="24"/>
          <w:lang w:eastAsia="en-US"/>
        </w:rPr>
        <w:t xml:space="preserve">Despite </w:t>
      </w:r>
      <w:r w:rsidR="000D0F11" w:rsidRPr="00B63E94">
        <w:rPr>
          <w:rFonts w:ascii="Times New Roman" w:eastAsia="MS Mincho" w:hAnsi="Times New Roman" w:cs="Times New Roman"/>
          <w:sz w:val="24"/>
          <w:szCs w:val="24"/>
          <w:lang w:eastAsia="en-US"/>
        </w:rPr>
        <w:t xml:space="preserve">the </w:t>
      </w:r>
      <w:r w:rsidR="000F6787" w:rsidRPr="00B63E94">
        <w:rPr>
          <w:rFonts w:ascii="Times New Roman" w:eastAsia="MS Mincho" w:hAnsi="Times New Roman" w:cs="Times New Roman"/>
          <w:sz w:val="24"/>
          <w:szCs w:val="24"/>
          <w:lang w:eastAsia="en-US"/>
        </w:rPr>
        <w:t xml:space="preserve">widespread implementation </w:t>
      </w:r>
      <w:r w:rsidR="000D0F11" w:rsidRPr="00B63E94">
        <w:rPr>
          <w:rFonts w:ascii="Times New Roman" w:eastAsia="MS Mincho" w:hAnsi="Times New Roman" w:cs="Times New Roman"/>
          <w:sz w:val="24"/>
          <w:szCs w:val="24"/>
          <w:lang w:eastAsia="en-US"/>
        </w:rPr>
        <w:t>of non-discrimination provisions in law</w:t>
      </w:r>
      <w:r w:rsidR="008C2232" w:rsidRPr="00B63E94">
        <w:rPr>
          <w:rFonts w:ascii="Times New Roman" w:eastAsia="MS Mincho" w:hAnsi="Times New Roman" w:cs="Times New Roman"/>
          <w:sz w:val="24"/>
          <w:szCs w:val="24"/>
          <w:lang w:eastAsia="en-US"/>
        </w:rPr>
        <w:t>,</w:t>
      </w:r>
      <w:r w:rsidR="000D0F11" w:rsidRPr="00B63E94">
        <w:rPr>
          <w:rFonts w:ascii="Times New Roman" w:eastAsia="MS Mincho" w:hAnsi="Times New Roman" w:cs="Times New Roman"/>
          <w:sz w:val="24"/>
          <w:szCs w:val="24"/>
          <w:lang w:eastAsia="en-US"/>
        </w:rPr>
        <w:t xml:space="preserve"> there has been relatively little demonstrable improvement in overall</w:t>
      </w:r>
      <w:r w:rsidR="000F6787" w:rsidRPr="00B63E94">
        <w:rPr>
          <w:rFonts w:ascii="Times New Roman" w:eastAsia="MS Mincho" w:hAnsi="Times New Roman" w:cs="Times New Roman"/>
          <w:sz w:val="24"/>
          <w:szCs w:val="24"/>
          <w:lang w:eastAsia="en-US"/>
        </w:rPr>
        <w:t xml:space="preserve"> levels of employment </w:t>
      </w:r>
      <w:r w:rsidR="000D0F11" w:rsidRPr="00B63E94">
        <w:rPr>
          <w:rFonts w:ascii="Times New Roman" w:eastAsia="MS Mincho" w:hAnsi="Times New Roman" w:cs="Times New Roman"/>
          <w:sz w:val="24"/>
          <w:szCs w:val="24"/>
          <w:lang w:eastAsia="en-US"/>
        </w:rPr>
        <w:t>for</w:t>
      </w:r>
      <w:r w:rsidR="000F6787" w:rsidRPr="00B63E94">
        <w:rPr>
          <w:rFonts w:ascii="Times New Roman" w:eastAsia="MS Mincho" w:hAnsi="Times New Roman" w:cs="Times New Roman"/>
          <w:sz w:val="24"/>
          <w:szCs w:val="24"/>
          <w:lang w:eastAsia="en-US"/>
        </w:rPr>
        <w:t xml:space="preserve"> disabled people</w:t>
      </w:r>
      <w:r w:rsidR="001810F9">
        <w:rPr>
          <w:rStyle w:val="FootnoteReference"/>
          <w:rFonts w:ascii="Times New Roman" w:eastAsia="MS Mincho" w:hAnsi="Times New Roman" w:cs="Times New Roman"/>
          <w:sz w:val="24"/>
          <w:szCs w:val="24"/>
          <w:lang w:eastAsia="en-US"/>
        </w:rPr>
        <w:footnoteReference w:id="77"/>
      </w:r>
      <w:r w:rsidR="000F6787" w:rsidRPr="00B63E94">
        <w:rPr>
          <w:rFonts w:ascii="Times New Roman" w:eastAsia="MS Mincho" w:hAnsi="Times New Roman" w:cs="Times New Roman"/>
          <w:sz w:val="24"/>
          <w:szCs w:val="24"/>
          <w:lang w:eastAsia="en-US"/>
        </w:rPr>
        <w:t xml:space="preserve">. </w:t>
      </w:r>
      <w:r w:rsidR="000D0F11" w:rsidRPr="00B63E94">
        <w:rPr>
          <w:rFonts w:ascii="Times New Roman" w:eastAsia="MS Mincho" w:hAnsi="Times New Roman" w:cs="Times New Roman"/>
          <w:sz w:val="24"/>
          <w:szCs w:val="24"/>
          <w:lang w:eastAsia="en-US"/>
        </w:rPr>
        <w:t xml:space="preserve">The same </w:t>
      </w:r>
      <w:r w:rsidR="0039218A" w:rsidRPr="00B63E94">
        <w:rPr>
          <w:rFonts w:ascii="Times New Roman" w:eastAsia="MS Mincho" w:hAnsi="Times New Roman" w:cs="Times New Roman"/>
          <w:sz w:val="24"/>
          <w:szCs w:val="24"/>
          <w:lang w:eastAsia="en-US"/>
        </w:rPr>
        <w:t>is true</w:t>
      </w:r>
      <w:r w:rsidR="000D0F11" w:rsidRPr="00B63E94">
        <w:rPr>
          <w:rFonts w:ascii="Times New Roman" w:eastAsia="MS Mincho" w:hAnsi="Times New Roman" w:cs="Times New Roman"/>
          <w:sz w:val="24"/>
          <w:szCs w:val="24"/>
          <w:lang w:eastAsia="en-US"/>
        </w:rPr>
        <w:t xml:space="preserve"> for the operation of employment quota schemes over a much longer period.</w:t>
      </w:r>
      <w:r w:rsidR="00702227" w:rsidRPr="00B63E94">
        <w:rPr>
          <w:rStyle w:val="FootnoteReference"/>
          <w:rFonts w:ascii="Times New Roman" w:eastAsia="MS Mincho" w:hAnsi="Times New Roman" w:cs="Times New Roman"/>
          <w:sz w:val="24"/>
          <w:szCs w:val="24"/>
          <w:lang w:eastAsia="en-US"/>
        </w:rPr>
        <w:footnoteReference w:id="78"/>
      </w:r>
      <w:r w:rsidR="000D0F11" w:rsidRPr="00B63E94">
        <w:rPr>
          <w:rFonts w:ascii="Times New Roman" w:eastAsia="MS Mincho" w:hAnsi="Times New Roman" w:cs="Times New Roman"/>
          <w:sz w:val="24"/>
          <w:szCs w:val="24"/>
          <w:lang w:eastAsia="en-US"/>
        </w:rPr>
        <w:t xml:space="preserve"> There is some evidence that various combinations of ALMPs create better employment outcomes than any single approach</w:t>
      </w:r>
      <w:r w:rsidR="00136601">
        <w:rPr>
          <w:rStyle w:val="FootnoteReference"/>
          <w:rFonts w:ascii="Times New Roman" w:eastAsia="MS Mincho" w:hAnsi="Times New Roman" w:cs="Times New Roman"/>
          <w:sz w:val="24"/>
          <w:szCs w:val="24"/>
          <w:lang w:eastAsia="en-US"/>
        </w:rPr>
        <w:footnoteReference w:id="79"/>
      </w:r>
      <w:r w:rsidR="000D0F11" w:rsidRPr="00B63E94">
        <w:rPr>
          <w:rFonts w:ascii="Times New Roman" w:eastAsia="MS Mincho" w:hAnsi="Times New Roman" w:cs="Times New Roman"/>
          <w:sz w:val="24"/>
          <w:szCs w:val="24"/>
          <w:lang w:eastAsia="en-US"/>
        </w:rPr>
        <w:t>, and that there is a need to address both social and physical barriers to employment. More widely there is still a concern amongst disability advocates that the way in which we conceptualise work expectation in relation to disability also needs to change – or that a more fundamental re-assessment of what work means is required in order to achieve an inclusive labour market.</w:t>
      </w:r>
    </w:p>
    <w:p w14:paraId="6FEA5CE0" w14:textId="77777777" w:rsidR="00690AA5" w:rsidRDefault="00690AA5" w:rsidP="00903E9B">
      <w:pPr>
        <w:spacing w:line="360" w:lineRule="auto"/>
        <w:jc w:val="both"/>
        <w:rPr>
          <w:rFonts w:ascii="Times New Roman" w:eastAsia="MS Mincho" w:hAnsi="Times New Roman" w:cs="Times New Roman"/>
          <w:sz w:val="24"/>
          <w:szCs w:val="24"/>
          <w:lang w:eastAsia="en-US"/>
        </w:rPr>
      </w:pPr>
    </w:p>
    <w:p w14:paraId="3170E6C5" w14:textId="0607AFA7" w:rsidR="00707822" w:rsidRPr="00B63E94" w:rsidRDefault="000D0F11" w:rsidP="00903E9B">
      <w:pPr>
        <w:spacing w:line="360" w:lineRule="auto"/>
        <w:jc w:val="both"/>
        <w:rPr>
          <w:rFonts w:ascii="Times New Roman" w:hAnsi="Times New Roman" w:cs="Times New Roman"/>
          <w:sz w:val="24"/>
          <w:szCs w:val="24"/>
          <w:lang w:eastAsia="en-US"/>
        </w:rPr>
      </w:pPr>
      <w:r w:rsidRPr="00B63E94">
        <w:rPr>
          <w:rFonts w:ascii="Times New Roman" w:eastAsia="MS Mincho" w:hAnsi="Times New Roman" w:cs="Times New Roman"/>
          <w:sz w:val="24"/>
          <w:szCs w:val="24"/>
          <w:lang w:eastAsia="en-US"/>
        </w:rPr>
        <w:t xml:space="preserve"> </w:t>
      </w:r>
    </w:p>
    <w:p w14:paraId="5351F20D" w14:textId="2446A92B" w:rsidR="00707822" w:rsidRPr="00B63E94" w:rsidRDefault="00690AA5" w:rsidP="00F22086">
      <w:pPr>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Acknolwedgement: t</w:t>
      </w:r>
      <w:r w:rsidRPr="00690AA5">
        <w:rPr>
          <w:rFonts w:ascii="Times New Roman" w:hAnsi="Times New Roman" w:cs="Times New Roman"/>
          <w:sz w:val="24"/>
          <w:szCs w:val="24"/>
          <w:lang w:val="en-US" w:eastAsia="en-US"/>
        </w:rPr>
        <w:t>he authors are grateful to Kate O'Reilly and Maastricht University for providing editorial assistance.</w:t>
      </w:r>
    </w:p>
    <w:sectPr w:rsidR="00707822" w:rsidRPr="00B63E94">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7C9A7" w14:textId="77777777" w:rsidR="00316AAD" w:rsidRDefault="00316AAD" w:rsidP="00570BE4">
      <w:pPr>
        <w:spacing w:after="0" w:line="240" w:lineRule="auto"/>
      </w:pPr>
      <w:r>
        <w:separator/>
      </w:r>
    </w:p>
  </w:endnote>
  <w:endnote w:type="continuationSeparator" w:id="0">
    <w:p w14:paraId="744022BD" w14:textId="77777777" w:rsidR="00316AAD" w:rsidRDefault="00316AAD" w:rsidP="00570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TUR">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639593"/>
      <w:docPartObj>
        <w:docPartGallery w:val="Page Numbers (Bottom of Page)"/>
        <w:docPartUnique/>
      </w:docPartObj>
    </w:sdtPr>
    <w:sdtEndPr>
      <w:rPr>
        <w:noProof/>
      </w:rPr>
    </w:sdtEndPr>
    <w:sdtContent>
      <w:p w14:paraId="0FEE5670" w14:textId="77777777" w:rsidR="00A567A4" w:rsidRDefault="00A567A4">
        <w:pPr>
          <w:pStyle w:val="Footer"/>
          <w:jc w:val="center"/>
        </w:pPr>
        <w:r>
          <w:fldChar w:fldCharType="begin"/>
        </w:r>
        <w:r>
          <w:instrText xml:space="preserve"> PAGE   \* MERGEFORMAT </w:instrText>
        </w:r>
        <w:r>
          <w:fldChar w:fldCharType="separate"/>
        </w:r>
        <w:r w:rsidR="00BC4DB8">
          <w:rPr>
            <w:noProof/>
          </w:rPr>
          <w:t>21</w:t>
        </w:r>
        <w:r>
          <w:rPr>
            <w:noProof/>
          </w:rPr>
          <w:fldChar w:fldCharType="end"/>
        </w:r>
      </w:p>
    </w:sdtContent>
  </w:sdt>
  <w:p w14:paraId="4576C720" w14:textId="77777777" w:rsidR="00A567A4" w:rsidRDefault="00A567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5CBD7" w14:textId="77777777" w:rsidR="00316AAD" w:rsidRDefault="00316AAD" w:rsidP="00570BE4">
      <w:pPr>
        <w:spacing w:after="0" w:line="240" w:lineRule="auto"/>
      </w:pPr>
      <w:r>
        <w:separator/>
      </w:r>
    </w:p>
  </w:footnote>
  <w:footnote w:type="continuationSeparator" w:id="0">
    <w:p w14:paraId="5BA5DFA3" w14:textId="77777777" w:rsidR="00316AAD" w:rsidRDefault="00316AAD" w:rsidP="00570BE4">
      <w:pPr>
        <w:spacing w:after="0" w:line="240" w:lineRule="auto"/>
      </w:pPr>
      <w:r>
        <w:continuationSeparator/>
      </w:r>
    </w:p>
  </w:footnote>
  <w:footnote w:id="1">
    <w:p w14:paraId="161FE1A7" w14:textId="4226570E" w:rsidR="00A567A4" w:rsidRPr="00926B96" w:rsidRDefault="00A567A4" w:rsidP="00B63E94">
      <w:pPr>
        <w:pStyle w:val="FootnoteText"/>
        <w:jc w:val="both"/>
        <w:rPr>
          <w:sz w:val="22"/>
          <w:szCs w:val="22"/>
          <w:lang w:val="en-AU"/>
        </w:rPr>
      </w:pPr>
      <w:r w:rsidRPr="00926B96">
        <w:rPr>
          <w:rStyle w:val="FootnoteReference"/>
          <w:sz w:val="22"/>
          <w:szCs w:val="22"/>
        </w:rPr>
        <w:footnoteRef/>
      </w:r>
      <w:r w:rsidRPr="00926B96">
        <w:rPr>
          <w:sz w:val="22"/>
          <w:szCs w:val="22"/>
        </w:rPr>
        <w:t xml:space="preserve"> </w:t>
      </w:r>
      <w:r w:rsidRPr="00926B96">
        <w:rPr>
          <w:rFonts w:asciiTheme="majorBidi" w:eastAsia="Times New Roman" w:hAnsiTheme="majorBidi" w:cstheme="majorBidi"/>
          <w:sz w:val="22"/>
          <w:szCs w:val="22"/>
        </w:rPr>
        <w:t xml:space="preserve">Brian Doyle, </w:t>
      </w:r>
      <w:r w:rsidRPr="00926B96">
        <w:rPr>
          <w:rFonts w:asciiTheme="majorBidi" w:eastAsia="Times New Roman" w:hAnsiTheme="majorBidi" w:cstheme="majorBidi"/>
          <w:i/>
          <w:sz w:val="22"/>
          <w:szCs w:val="22"/>
        </w:rPr>
        <w:t>Disability Discrimination and Equal Opportunities: A Comparative Study of the Employment Rights of Disabled Persons</w:t>
      </w:r>
      <w:r w:rsidRPr="00926B96">
        <w:rPr>
          <w:rFonts w:asciiTheme="majorBidi" w:eastAsia="Times New Roman" w:hAnsiTheme="majorBidi" w:cstheme="majorBidi"/>
          <w:sz w:val="22"/>
          <w:szCs w:val="22"/>
        </w:rPr>
        <w:t xml:space="preserve"> (Mansell 1995); Mike Floyd and John Curtis, ‘An Examination of Changes in Disability and</w:t>
      </w:r>
      <w:r w:rsidRPr="00570A96">
        <w:rPr>
          <w:rFonts w:asciiTheme="majorBidi" w:eastAsia="Times New Roman" w:hAnsiTheme="majorBidi" w:cstheme="majorBidi"/>
          <w:sz w:val="22"/>
          <w:szCs w:val="22"/>
        </w:rPr>
        <w:t xml:space="preserve"> Employment Policy in the U</w:t>
      </w:r>
      <w:r w:rsidRPr="00926B96">
        <w:rPr>
          <w:rFonts w:asciiTheme="majorBidi" w:eastAsia="Times New Roman" w:hAnsiTheme="majorBidi" w:cstheme="majorBidi"/>
          <w:sz w:val="22"/>
          <w:szCs w:val="22"/>
        </w:rPr>
        <w:t>nited Kingdom’ (2000) 2 European Journal of Social Security 303; Susan Lonsdale and Alan</w:t>
      </w:r>
      <w:r>
        <w:rPr>
          <w:rFonts w:asciiTheme="majorBidi" w:eastAsia="Times New Roman" w:hAnsiTheme="majorBidi" w:cstheme="majorBidi"/>
          <w:sz w:val="22"/>
          <w:szCs w:val="22"/>
        </w:rPr>
        <w:t xml:space="preserve"> </w:t>
      </w:r>
      <w:r w:rsidRPr="00926B96">
        <w:rPr>
          <w:rFonts w:asciiTheme="majorBidi" w:eastAsia="Times New Roman" w:hAnsiTheme="majorBidi" w:cstheme="majorBidi"/>
          <w:sz w:val="22"/>
          <w:szCs w:val="22"/>
        </w:rPr>
        <w:t xml:space="preserve">Walker, </w:t>
      </w:r>
      <w:r w:rsidRPr="00926B96">
        <w:rPr>
          <w:rFonts w:asciiTheme="majorBidi" w:eastAsia="Times New Roman" w:hAnsiTheme="majorBidi" w:cstheme="majorBidi"/>
          <w:i/>
          <w:sz w:val="22"/>
          <w:szCs w:val="22"/>
        </w:rPr>
        <w:t>A Right to Work: Disability and Employment</w:t>
      </w:r>
      <w:r w:rsidRPr="00926B96">
        <w:rPr>
          <w:rFonts w:asciiTheme="majorBidi" w:eastAsia="Times New Roman" w:hAnsiTheme="majorBidi" w:cstheme="majorBidi"/>
          <w:sz w:val="22"/>
          <w:szCs w:val="22"/>
        </w:rPr>
        <w:t xml:space="preserve"> (Disability Allowance and Low Pay Unit</w:t>
      </w:r>
      <w:r>
        <w:rPr>
          <w:rFonts w:asciiTheme="majorBidi" w:eastAsia="Times New Roman" w:hAnsiTheme="majorBidi" w:cstheme="majorBidi"/>
          <w:sz w:val="22"/>
          <w:szCs w:val="22"/>
        </w:rPr>
        <w:t xml:space="preserve"> </w:t>
      </w:r>
      <w:r w:rsidRPr="00926B96">
        <w:rPr>
          <w:rFonts w:asciiTheme="majorBidi" w:eastAsia="Times New Roman" w:hAnsiTheme="majorBidi" w:cstheme="majorBidi"/>
          <w:sz w:val="22"/>
          <w:szCs w:val="22"/>
        </w:rPr>
        <w:t>1984)</w:t>
      </w:r>
      <w:r w:rsidRPr="00570A96">
        <w:rPr>
          <w:rFonts w:asciiTheme="majorBidi" w:eastAsia="Times New Roman" w:hAnsiTheme="majorBidi" w:cstheme="majorBidi"/>
          <w:sz w:val="22"/>
          <w:szCs w:val="22"/>
        </w:rPr>
        <w:t>.</w:t>
      </w:r>
    </w:p>
  </w:footnote>
  <w:footnote w:id="2">
    <w:p w14:paraId="60207B90" w14:textId="288705C7" w:rsidR="00A567A4" w:rsidRPr="00570A96" w:rsidRDefault="00A567A4" w:rsidP="00B63E94">
      <w:pPr>
        <w:pStyle w:val="FootnoteText"/>
        <w:jc w:val="both"/>
        <w:rPr>
          <w:sz w:val="22"/>
          <w:szCs w:val="22"/>
        </w:rPr>
      </w:pPr>
      <w:r w:rsidRPr="00B63E94">
        <w:rPr>
          <w:rStyle w:val="FootnoteReference"/>
          <w:sz w:val="22"/>
          <w:szCs w:val="22"/>
        </w:rPr>
        <w:footnoteRef/>
      </w:r>
      <w:r w:rsidRPr="00B63E94">
        <w:rPr>
          <w:sz w:val="22"/>
          <w:szCs w:val="22"/>
        </w:rPr>
        <w:t xml:space="preserve"> International Labour Organization</w:t>
      </w:r>
      <w:r w:rsidR="00C91D28">
        <w:rPr>
          <w:sz w:val="22"/>
          <w:szCs w:val="22"/>
        </w:rPr>
        <w:t xml:space="preserve">, </w:t>
      </w:r>
      <w:r w:rsidRPr="00B63E94">
        <w:rPr>
          <w:i/>
          <w:iCs/>
          <w:sz w:val="22"/>
          <w:szCs w:val="22"/>
        </w:rPr>
        <w:t>Employment for Social Justice and a Fair Globalization: overview of ILO programmes</w:t>
      </w:r>
      <w:r w:rsidR="00C91D28" w:rsidRPr="00C91D28">
        <w:rPr>
          <w:sz w:val="22"/>
          <w:szCs w:val="22"/>
        </w:rPr>
        <w:t xml:space="preserve"> </w:t>
      </w:r>
      <w:r w:rsidR="00C91D28" w:rsidRPr="00B63E94">
        <w:rPr>
          <w:sz w:val="22"/>
          <w:szCs w:val="22"/>
        </w:rPr>
        <w:t>(</w:t>
      </w:r>
      <w:r w:rsidR="00C91D28">
        <w:rPr>
          <w:sz w:val="22"/>
          <w:szCs w:val="22"/>
        </w:rPr>
        <w:t xml:space="preserve">ILO </w:t>
      </w:r>
      <w:r w:rsidR="00C91D28" w:rsidRPr="00B63E94">
        <w:rPr>
          <w:sz w:val="22"/>
          <w:szCs w:val="22"/>
        </w:rPr>
        <w:t>2012)</w:t>
      </w:r>
      <w:r w:rsidRPr="00B63E94">
        <w:rPr>
          <w:sz w:val="22"/>
          <w:szCs w:val="22"/>
        </w:rPr>
        <w:t xml:space="preserve"> available at </w:t>
      </w:r>
      <w:hyperlink r:id="rId1" w:history="1">
        <w:r w:rsidRPr="00B63E94">
          <w:rPr>
            <w:rStyle w:val="Hyperlink"/>
            <w:sz w:val="22"/>
            <w:szCs w:val="22"/>
          </w:rPr>
          <w:t>http://www.ilo.org/wcmsp5/groups/public/---ed_emp/documents/publication/wcms_140958.pdf</w:t>
        </w:r>
      </w:hyperlink>
      <w:r w:rsidRPr="00570A96">
        <w:rPr>
          <w:sz w:val="22"/>
          <w:szCs w:val="22"/>
        </w:rPr>
        <w:t xml:space="preserve"> </w:t>
      </w:r>
    </w:p>
  </w:footnote>
  <w:footnote w:id="3">
    <w:p w14:paraId="5931307B" w14:textId="7561DA59"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w:t>
      </w:r>
      <w:r w:rsidRPr="00B63E94">
        <w:rPr>
          <w:sz w:val="22"/>
          <w:szCs w:val="22"/>
        </w:rPr>
        <w:t>World Health Organization and World Bank</w:t>
      </w:r>
      <w:r>
        <w:rPr>
          <w:sz w:val="22"/>
          <w:szCs w:val="22"/>
        </w:rPr>
        <w:t xml:space="preserve">, </w:t>
      </w:r>
      <w:r w:rsidRPr="00B63E94">
        <w:rPr>
          <w:i/>
          <w:iCs/>
          <w:sz w:val="22"/>
          <w:szCs w:val="22"/>
        </w:rPr>
        <w:t>World report on disability</w:t>
      </w:r>
      <w:r w:rsidR="00C91D28">
        <w:rPr>
          <w:i/>
          <w:iCs/>
          <w:sz w:val="22"/>
          <w:szCs w:val="22"/>
        </w:rPr>
        <w:t xml:space="preserve"> </w:t>
      </w:r>
      <w:r w:rsidR="00C91D28" w:rsidRPr="00B63E94">
        <w:rPr>
          <w:sz w:val="22"/>
          <w:szCs w:val="22"/>
        </w:rPr>
        <w:t>(</w:t>
      </w:r>
      <w:r w:rsidR="00C91D28">
        <w:rPr>
          <w:sz w:val="22"/>
          <w:szCs w:val="22"/>
        </w:rPr>
        <w:t xml:space="preserve">WHO </w:t>
      </w:r>
      <w:r w:rsidR="00C91D28" w:rsidRPr="00B63E94">
        <w:rPr>
          <w:sz w:val="22"/>
          <w:szCs w:val="22"/>
        </w:rPr>
        <w:t>2011)</w:t>
      </w:r>
      <w:r w:rsidRPr="00B63E94">
        <w:rPr>
          <w:sz w:val="22"/>
          <w:szCs w:val="22"/>
        </w:rPr>
        <w:t xml:space="preserve"> 237-8</w:t>
      </w:r>
      <w:r>
        <w:rPr>
          <w:sz w:val="22"/>
          <w:szCs w:val="22"/>
        </w:rPr>
        <w:t xml:space="preserve"> </w:t>
      </w:r>
    </w:p>
  </w:footnote>
  <w:footnote w:id="4">
    <w:p w14:paraId="4F1DD179" w14:textId="69CF91D1" w:rsidR="00A567A4" w:rsidRPr="00B63E94" w:rsidRDefault="00A567A4" w:rsidP="00B63E94">
      <w:pPr>
        <w:pStyle w:val="FootnoteText"/>
        <w:jc w:val="both"/>
        <w:rPr>
          <w:sz w:val="22"/>
          <w:szCs w:val="22"/>
          <w:lang w:val="en-AU"/>
        </w:rPr>
      </w:pPr>
      <w:r w:rsidRPr="00B63E94">
        <w:rPr>
          <w:rStyle w:val="FootnoteReference"/>
          <w:sz w:val="22"/>
          <w:szCs w:val="22"/>
        </w:rPr>
        <w:footnoteRef/>
      </w:r>
      <w:r w:rsidRPr="00B63E94">
        <w:rPr>
          <w:sz w:val="22"/>
          <w:szCs w:val="22"/>
        </w:rPr>
        <w:t xml:space="preserve"> </w:t>
      </w:r>
      <w:r w:rsidRPr="00570A96">
        <w:rPr>
          <w:sz w:val="22"/>
          <w:szCs w:val="22"/>
          <w:lang w:val="en-AU"/>
        </w:rPr>
        <w:t xml:space="preserve">Vic </w:t>
      </w:r>
      <w:r w:rsidRPr="00B63E94">
        <w:rPr>
          <w:rFonts w:asciiTheme="majorBidi" w:hAnsiTheme="majorBidi" w:cstheme="majorBidi"/>
          <w:sz w:val="22"/>
          <w:szCs w:val="22"/>
        </w:rPr>
        <w:t>Finkelstein,</w:t>
      </w:r>
      <w:r w:rsidRPr="00570A96">
        <w:rPr>
          <w:rFonts w:asciiTheme="majorBidi" w:hAnsiTheme="majorBidi" w:cstheme="majorBidi"/>
          <w:sz w:val="22"/>
          <w:szCs w:val="22"/>
        </w:rPr>
        <w:t xml:space="preserve"> ‘More on Phase 2’ </w:t>
      </w:r>
      <w:r w:rsidR="00C91D28">
        <w:rPr>
          <w:rFonts w:asciiTheme="majorBidi" w:hAnsiTheme="majorBidi" w:cstheme="majorBidi"/>
          <w:sz w:val="22"/>
          <w:szCs w:val="22"/>
        </w:rPr>
        <w:t xml:space="preserve">(1975) </w:t>
      </w:r>
      <w:r w:rsidR="00C91D28" w:rsidRPr="00570A96">
        <w:rPr>
          <w:rFonts w:asciiTheme="majorBidi" w:hAnsiTheme="majorBidi" w:cstheme="majorBidi"/>
          <w:sz w:val="22"/>
          <w:szCs w:val="22"/>
        </w:rPr>
        <w:t>XXVII</w:t>
      </w:r>
      <w:r w:rsidR="00C91D28" w:rsidRPr="00B63E94">
        <w:rPr>
          <w:rFonts w:asciiTheme="majorBidi" w:hAnsiTheme="majorBidi" w:cstheme="majorBidi"/>
          <w:i/>
          <w:sz w:val="22"/>
          <w:szCs w:val="22"/>
        </w:rPr>
        <w:t xml:space="preserve"> </w:t>
      </w:r>
      <w:r w:rsidRPr="00B63E94">
        <w:rPr>
          <w:rFonts w:asciiTheme="majorBidi" w:hAnsiTheme="majorBidi" w:cstheme="majorBidi"/>
          <w:i/>
          <w:sz w:val="22"/>
          <w:szCs w:val="22"/>
        </w:rPr>
        <w:t>The Magic Carpet</w:t>
      </w:r>
      <w:r w:rsidRPr="00B63E94">
        <w:rPr>
          <w:rFonts w:asciiTheme="majorBidi" w:hAnsiTheme="majorBidi" w:cstheme="majorBidi"/>
          <w:sz w:val="22"/>
          <w:szCs w:val="22"/>
        </w:rPr>
        <w:t xml:space="preserve"> </w:t>
      </w:r>
      <w:r w:rsidRPr="00570A96">
        <w:rPr>
          <w:rFonts w:asciiTheme="majorBidi" w:hAnsiTheme="majorBidi" w:cstheme="majorBidi"/>
          <w:sz w:val="22"/>
          <w:szCs w:val="22"/>
        </w:rPr>
        <w:t>16</w:t>
      </w:r>
      <w:r w:rsidRPr="00B63E94">
        <w:rPr>
          <w:rFonts w:asciiTheme="majorBidi" w:hAnsiTheme="majorBidi" w:cstheme="majorBidi"/>
          <w:sz w:val="22"/>
          <w:szCs w:val="22"/>
        </w:rPr>
        <w:t xml:space="preserve">; </w:t>
      </w:r>
      <w:r w:rsidRPr="00570A96">
        <w:rPr>
          <w:rFonts w:asciiTheme="majorBidi" w:hAnsiTheme="majorBidi" w:cstheme="majorBidi"/>
          <w:sz w:val="22"/>
          <w:szCs w:val="22"/>
        </w:rPr>
        <w:t xml:space="preserve">Mike </w:t>
      </w:r>
      <w:r w:rsidRPr="00B63E94">
        <w:rPr>
          <w:rFonts w:asciiTheme="majorBidi" w:hAnsiTheme="majorBidi" w:cstheme="majorBidi"/>
          <w:sz w:val="22"/>
          <w:szCs w:val="22"/>
        </w:rPr>
        <w:t>Oliver,</w:t>
      </w:r>
      <w:r w:rsidRPr="00570A96">
        <w:rPr>
          <w:rFonts w:asciiTheme="majorBidi" w:hAnsiTheme="majorBidi" w:cstheme="majorBidi"/>
          <w:sz w:val="22"/>
          <w:szCs w:val="22"/>
        </w:rPr>
        <w:t xml:space="preserve"> </w:t>
      </w:r>
      <w:r w:rsidRPr="00B63E94">
        <w:rPr>
          <w:rFonts w:asciiTheme="majorBidi" w:hAnsiTheme="majorBidi" w:cstheme="majorBidi"/>
          <w:i/>
          <w:sz w:val="22"/>
          <w:szCs w:val="22"/>
        </w:rPr>
        <w:t xml:space="preserve">The Politics of Disablement </w:t>
      </w:r>
      <w:r w:rsidRPr="00570A96">
        <w:rPr>
          <w:rFonts w:asciiTheme="majorBidi" w:hAnsiTheme="majorBidi" w:cstheme="majorBidi"/>
          <w:sz w:val="22"/>
          <w:szCs w:val="22"/>
        </w:rPr>
        <w:t xml:space="preserve">(Macmillan </w:t>
      </w:r>
      <w:r w:rsidRPr="00B63E94">
        <w:rPr>
          <w:rFonts w:asciiTheme="majorBidi" w:hAnsiTheme="majorBidi" w:cstheme="majorBidi"/>
          <w:sz w:val="22"/>
          <w:szCs w:val="22"/>
        </w:rPr>
        <w:t>1990</w:t>
      </w:r>
      <w:r w:rsidRPr="00570A96">
        <w:rPr>
          <w:rFonts w:asciiTheme="majorBidi" w:hAnsiTheme="majorBidi" w:cstheme="majorBidi"/>
          <w:sz w:val="22"/>
          <w:szCs w:val="22"/>
        </w:rPr>
        <w:t>)</w:t>
      </w:r>
      <w:r w:rsidRPr="00B63E94">
        <w:rPr>
          <w:rFonts w:asciiTheme="majorBidi" w:hAnsiTheme="majorBidi" w:cstheme="majorBidi"/>
          <w:sz w:val="22"/>
          <w:szCs w:val="22"/>
        </w:rPr>
        <w:t xml:space="preserve">; </w:t>
      </w:r>
      <w:r w:rsidRPr="00570A96">
        <w:rPr>
          <w:rFonts w:asciiTheme="majorBidi" w:hAnsiTheme="majorBidi" w:cstheme="majorBidi"/>
          <w:sz w:val="22"/>
          <w:szCs w:val="22"/>
        </w:rPr>
        <w:t xml:space="preserve">Mike </w:t>
      </w:r>
      <w:r w:rsidRPr="00B63E94">
        <w:rPr>
          <w:rFonts w:asciiTheme="majorBidi" w:hAnsiTheme="majorBidi" w:cstheme="majorBidi"/>
          <w:sz w:val="22"/>
          <w:szCs w:val="22"/>
        </w:rPr>
        <w:t xml:space="preserve">Oliver and </w:t>
      </w:r>
      <w:r w:rsidRPr="00570A96">
        <w:rPr>
          <w:rFonts w:asciiTheme="majorBidi" w:hAnsiTheme="majorBidi" w:cstheme="majorBidi"/>
          <w:sz w:val="22"/>
          <w:szCs w:val="22"/>
        </w:rPr>
        <w:t xml:space="preserve">Colin </w:t>
      </w:r>
      <w:r w:rsidRPr="00B63E94">
        <w:rPr>
          <w:rFonts w:asciiTheme="majorBidi" w:hAnsiTheme="majorBidi" w:cstheme="majorBidi"/>
          <w:sz w:val="22"/>
          <w:szCs w:val="22"/>
        </w:rPr>
        <w:t>Barnes</w:t>
      </w:r>
      <w:r w:rsidRPr="00570A96">
        <w:rPr>
          <w:rFonts w:asciiTheme="majorBidi" w:hAnsiTheme="majorBidi" w:cstheme="majorBidi"/>
          <w:sz w:val="22"/>
          <w:szCs w:val="22"/>
        </w:rPr>
        <w:t xml:space="preserve">, </w:t>
      </w:r>
      <w:r w:rsidRPr="00B63E94">
        <w:rPr>
          <w:rFonts w:asciiTheme="majorBidi" w:hAnsiTheme="majorBidi" w:cstheme="majorBidi"/>
          <w:i/>
          <w:sz w:val="22"/>
          <w:szCs w:val="22"/>
        </w:rPr>
        <w:t>The New Politics of Disablement</w:t>
      </w:r>
      <w:r w:rsidRPr="00B63E94">
        <w:rPr>
          <w:rFonts w:asciiTheme="majorBidi" w:hAnsiTheme="majorBidi" w:cstheme="majorBidi"/>
          <w:sz w:val="22"/>
          <w:szCs w:val="22"/>
        </w:rPr>
        <w:t xml:space="preserve"> </w:t>
      </w:r>
      <w:r w:rsidRPr="00570A96">
        <w:rPr>
          <w:rFonts w:asciiTheme="majorBidi" w:hAnsiTheme="majorBidi" w:cstheme="majorBidi"/>
          <w:sz w:val="22"/>
          <w:szCs w:val="22"/>
        </w:rPr>
        <w:t xml:space="preserve">(Macmillan </w:t>
      </w:r>
      <w:r w:rsidRPr="00B63E94">
        <w:rPr>
          <w:rFonts w:asciiTheme="majorBidi" w:hAnsiTheme="majorBidi" w:cstheme="majorBidi"/>
          <w:sz w:val="22"/>
          <w:szCs w:val="22"/>
        </w:rPr>
        <w:t>2012</w:t>
      </w:r>
      <w:r w:rsidRPr="00570A96">
        <w:rPr>
          <w:rFonts w:asciiTheme="majorBidi" w:hAnsiTheme="majorBidi" w:cstheme="majorBidi"/>
          <w:sz w:val="22"/>
          <w:szCs w:val="22"/>
        </w:rPr>
        <w:t>)</w:t>
      </w:r>
      <w:r w:rsidRPr="00B63E94">
        <w:rPr>
          <w:rFonts w:asciiTheme="majorBidi" w:hAnsiTheme="majorBidi" w:cstheme="majorBidi"/>
          <w:sz w:val="22"/>
          <w:szCs w:val="22"/>
        </w:rPr>
        <w:t xml:space="preserve">; </w:t>
      </w:r>
      <w:r w:rsidRPr="00570A96">
        <w:rPr>
          <w:rFonts w:asciiTheme="majorBidi" w:hAnsiTheme="majorBidi" w:cstheme="majorBidi"/>
          <w:sz w:val="22"/>
          <w:szCs w:val="22"/>
        </w:rPr>
        <w:t xml:space="preserve">Joanna </w:t>
      </w:r>
      <w:r w:rsidRPr="00B63E94">
        <w:rPr>
          <w:rFonts w:asciiTheme="majorBidi" w:hAnsiTheme="majorBidi" w:cstheme="majorBidi"/>
          <w:sz w:val="22"/>
          <w:szCs w:val="22"/>
        </w:rPr>
        <w:t xml:space="preserve">Ryan and </w:t>
      </w:r>
      <w:r w:rsidRPr="00570A96">
        <w:rPr>
          <w:rFonts w:asciiTheme="majorBidi" w:hAnsiTheme="majorBidi" w:cstheme="majorBidi"/>
          <w:sz w:val="22"/>
          <w:szCs w:val="22"/>
        </w:rPr>
        <w:t xml:space="preserve">Frank </w:t>
      </w:r>
      <w:r w:rsidRPr="00B63E94">
        <w:rPr>
          <w:rFonts w:asciiTheme="majorBidi" w:hAnsiTheme="majorBidi" w:cstheme="majorBidi"/>
          <w:sz w:val="22"/>
          <w:szCs w:val="22"/>
        </w:rPr>
        <w:t xml:space="preserve">Thomas, </w:t>
      </w:r>
      <w:r w:rsidRPr="00B63E94">
        <w:rPr>
          <w:rFonts w:asciiTheme="majorBidi" w:hAnsiTheme="majorBidi" w:cstheme="majorBidi"/>
          <w:i/>
          <w:sz w:val="22"/>
          <w:szCs w:val="22"/>
        </w:rPr>
        <w:t>The Politics of Mental Handicap</w:t>
      </w:r>
      <w:r w:rsidRPr="00570A96">
        <w:rPr>
          <w:rFonts w:asciiTheme="majorBidi" w:hAnsiTheme="majorBidi" w:cstheme="majorBidi"/>
          <w:sz w:val="22"/>
          <w:szCs w:val="22"/>
        </w:rPr>
        <w:t xml:space="preserve"> (Penguin </w:t>
      </w:r>
      <w:r w:rsidRPr="00B63E94">
        <w:rPr>
          <w:rFonts w:asciiTheme="majorBidi" w:hAnsiTheme="majorBidi" w:cstheme="majorBidi"/>
          <w:sz w:val="22"/>
          <w:szCs w:val="22"/>
        </w:rPr>
        <w:t>1980</w:t>
      </w:r>
      <w:r w:rsidRPr="00570A96">
        <w:rPr>
          <w:rFonts w:asciiTheme="majorBidi" w:hAnsiTheme="majorBidi" w:cstheme="majorBidi"/>
          <w:sz w:val="22"/>
          <w:szCs w:val="22"/>
        </w:rPr>
        <w:t>).</w:t>
      </w:r>
    </w:p>
  </w:footnote>
  <w:footnote w:id="5">
    <w:p w14:paraId="45F9F349" w14:textId="61294DA0" w:rsidR="00A567A4" w:rsidRPr="00570A96" w:rsidRDefault="00A567A4" w:rsidP="00B63E94">
      <w:pPr>
        <w:pStyle w:val="FootnoteText"/>
        <w:jc w:val="both"/>
        <w:rPr>
          <w:sz w:val="22"/>
          <w:szCs w:val="22"/>
          <w:lang w:val="en-AU"/>
        </w:rPr>
      </w:pPr>
      <w:r w:rsidRPr="00B63E94">
        <w:rPr>
          <w:rStyle w:val="FootnoteReference"/>
          <w:sz w:val="22"/>
          <w:szCs w:val="22"/>
        </w:rPr>
        <w:footnoteRef/>
      </w:r>
      <w:r w:rsidRPr="00B63E94">
        <w:rPr>
          <w:sz w:val="22"/>
          <w:szCs w:val="22"/>
        </w:rPr>
        <w:t xml:space="preserve"> </w:t>
      </w:r>
      <w:r w:rsidRPr="00570A96">
        <w:rPr>
          <w:sz w:val="22"/>
          <w:szCs w:val="22"/>
        </w:rPr>
        <w:t xml:space="preserve">Deborah </w:t>
      </w:r>
      <w:r w:rsidRPr="00B63E94">
        <w:rPr>
          <w:rFonts w:asciiTheme="majorBidi" w:hAnsiTheme="majorBidi" w:cstheme="majorBidi"/>
          <w:sz w:val="22"/>
          <w:szCs w:val="22"/>
        </w:rPr>
        <w:t>Stone</w:t>
      </w:r>
      <w:r w:rsidRPr="00570A96">
        <w:rPr>
          <w:rFonts w:asciiTheme="majorBidi" w:hAnsiTheme="majorBidi" w:cstheme="majorBidi"/>
          <w:sz w:val="22"/>
          <w:szCs w:val="22"/>
        </w:rPr>
        <w:t xml:space="preserve">, </w:t>
      </w:r>
      <w:r w:rsidRPr="00B63E94">
        <w:rPr>
          <w:rFonts w:asciiTheme="majorBidi" w:hAnsiTheme="majorBidi" w:cstheme="majorBidi"/>
          <w:i/>
          <w:sz w:val="22"/>
          <w:szCs w:val="22"/>
        </w:rPr>
        <w:t>The Disabled State</w:t>
      </w:r>
      <w:r w:rsidRPr="00B63E94">
        <w:rPr>
          <w:rFonts w:asciiTheme="majorBidi" w:hAnsiTheme="majorBidi" w:cstheme="majorBidi"/>
          <w:sz w:val="22"/>
          <w:szCs w:val="22"/>
        </w:rPr>
        <w:t xml:space="preserve"> (</w:t>
      </w:r>
      <w:r w:rsidRPr="00570A96">
        <w:rPr>
          <w:rFonts w:asciiTheme="majorBidi" w:hAnsiTheme="majorBidi" w:cstheme="majorBidi"/>
          <w:sz w:val="22"/>
          <w:szCs w:val="22"/>
        </w:rPr>
        <w:t xml:space="preserve">Temple University Press </w:t>
      </w:r>
      <w:r w:rsidRPr="00B63E94">
        <w:rPr>
          <w:rFonts w:asciiTheme="majorBidi" w:hAnsiTheme="majorBidi" w:cstheme="majorBidi"/>
          <w:sz w:val="22"/>
          <w:szCs w:val="22"/>
        </w:rPr>
        <w:t xml:space="preserve">1984). See also </w:t>
      </w:r>
      <w:r w:rsidRPr="00570A96">
        <w:rPr>
          <w:rFonts w:asciiTheme="majorBidi" w:hAnsiTheme="majorBidi" w:cstheme="majorBidi"/>
          <w:sz w:val="22"/>
          <w:szCs w:val="22"/>
        </w:rPr>
        <w:t>Mark Priestley, ‘The Origins of a Legislative Disability Category in England: A Speculative History’ (1997) 17 Disability Studies Quarterly 87.</w:t>
      </w:r>
    </w:p>
  </w:footnote>
  <w:footnote w:id="6">
    <w:p w14:paraId="20F719AE" w14:textId="6156545F" w:rsidR="00A567A4" w:rsidRPr="00B63E94" w:rsidRDefault="00A567A4" w:rsidP="00B63E94">
      <w:pPr>
        <w:pStyle w:val="FootnoteText"/>
        <w:jc w:val="both"/>
        <w:rPr>
          <w:rFonts w:asciiTheme="majorBidi" w:hAnsiTheme="majorBidi" w:cstheme="majorBidi"/>
          <w:sz w:val="22"/>
          <w:szCs w:val="22"/>
          <w:lang w:val="en-IE"/>
        </w:rPr>
      </w:pPr>
      <w:r w:rsidRPr="00B63E94">
        <w:rPr>
          <w:rStyle w:val="FootnoteReference"/>
          <w:sz w:val="22"/>
          <w:szCs w:val="22"/>
        </w:rPr>
        <w:footnoteRef/>
      </w:r>
      <w:r w:rsidRPr="00B63E94">
        <w:rPr>
          <w:sz w:val="22"/>
          <w:szCs w:val="22"/>
        </w:rPr>
        <w:t xml:space="preserve"> </w:t>
      </w:r>
      <w:proofErr w:type="gramStart"/>
      <w:r w:rsidRPr="00570A96">
        <w:rPr>
          <w:rFonts w:asciiTheme="majorBidi" w:hAnsiTheme="majorBidi" w:cstheme="majorBidi"/>
          <w:sz w:val="22"/>
          <w:szCs w:val="22"/>
        </w:rPr>
        <w:t xml:space="preserve">Jonathan </w:t>
      </w:r>
      <w:r w:rsidRPr="00B63E94">
        <w:rPr>
          <w:rFonts w:asciiTheme="majorBidi" w:hAnsiTheme="majorBidi" w:cstheme="majorBidi"/>
          <w:sz w:val="22"/>
          <w:szCs w:val="22"/>
        </w:rPr>
        <w:t xml:space="preserve">Gruber, </w:t>
      </w:r>
      <w:r w:rsidRPr="00570A96">
        <w:rPr>
          <w:rFonts w:asciiTheme="majorBidi" w:hAnsiTheme="majorBidi" w:cstheme="majorBidi"/>
          <w:sz w:val="22"/>
          <w:szCs w:val="22"/>
        </w:rPr>
        <w:t>‘</w:t>
      </w:r>
      <w:r w:rsidRPr="00B63E94">
        <w:rPr>
          <w:rFonts w:asciiTheme="majorBidi" w:hAnsiTheme="majorBidi" w:cstheme="majorBidi"/>
          <w:bCs/>
          <w:sz w:val="22"/>
          <w:szCs w:val="22"/>
          <w:lang w:val="en-IE"/>
        </w:rPr>
        <w:t>Disability Insurance Benefits and Labor Supply</w:t>
      </w:r>
      <w:r w:rsidRPr="00570A96">
        <w:rPr>
          <w:rFonts w:asciiTheme="majorBidi" w:hAnsiTheme="majorBidi" w:cstheme="majorBidi"/>
          <w:bCs/>
          <w:sz w:val="22"/>
          <w:szCs w:val="22"/>
          <w:lang w:val="en-IE"/>
        </w:rPr>
        <w:t>’ (2000) 108 Journal of Political Economy 1162.</w:t>
      </w:r>
      <w:proofErr w:type="gramEnd"/>
    </w:p>
  </w:footnote>
  <w:footnote w:id="7">
    <w:p w14:paraId="42A0D9BD" w14:textId="76DD7F8B"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w:t>
      </w:r>
      <w:r w:rsidRPr="00570A96">
        <w:rPr>
          <w:sz w:val="22"/>
          <w:szCs w:val="22"/>
          <w:lang w:val="en"/>
        </w:rPr>
        <w:t>OECD, </w:t>
      </w:r>
      <w:r w:rsidRPr="00570A96">
        <w:rPr>
          <w:i/>
          <w:iCs/>
          <w:sz w:val="22"/>
          <w:szCs w:val="22"/>
          <w:lang w:val="en"/>
        </w:rPr>
        <w:t>Sickness, Disability and Work: Breaking the Barriers: A Synthesis of Findings across OECD Countries</w:t>
      </w:r>
      <w:r w:rsidRPr="00570A96">
        <w:rPr>
          <w:sz w:val="22"/>
          <w:szCs w:val="22"/>
          <w:lang w:val="en"/>
        </w:rPr>
        <w:t>, (OECD Publishing 2000)</w:t>
      </w:r>
      <w:r w:rsidR="00C91D28">
        <w:rPr>
          <w:sz w:val="22"/>
          <w:szCs w:val="22"/>
          <w:lang w:val="en"/>
        </w:rPr>
        <w:t xml:space="preserve"> </w:t>
      </w:r>
      <w:r w:rsidRPr="00570A96">
        <w:rPr>
          <w:sz w:val="22"/>
          <w:szCs w:val="22"/>
          <w:lang w:val="en"/>
        </w:rPr>
        <w:t>(&lt;</w:t>
      </w:r>
      <w:hyperlink r:id="rId2" w:history="1">
        <w:r w:rsidRPr="00570A96">
          <w:rPr>
            <w:rStyle w:val="Hyperlink"/>
            <w:sz w:val="22"/>
            <w:szCs w:val="22"/>
            <w:lang w:val="en"/>
          </w:rPr>
          <w:t>http://www.oecd-ilibrary.org/social-issues-migration-health/sickness-disability-and-work-breaking-the-barriers_9789264088856-en</w:t>
        </w:r>
      </w:hyperlink>
      <w:r w:rsidRPr="00570A96">
        <w:rPr>
          <w:sz w:val="22"/>
          <w:szCs w:val="22"/>
          <w:lang w:val="en"/>
        </w:rPr>
        <w:t>&gt;) ‘accessed 27 February 2015’</w:t>
      </w:r>
      <w:r w:rsidRPr="00570A96">
        <w:rPr>
          <w:rStyle w:val="Hyperlink"/>
          <w:sz w:val="22"/>
          <w:szCs w:val="22"/>
          <w:lang w:val="en"/>
        </w:rPr>
        <w:t xml:space="preserve">; </w:t>
      </w:r>
      <w:r w:rsidR="00A669A0" w:rsidRPr="00A669A0">
        <w:rPr>
          <w:rStyle w:val="Hyperlink"/>
          <w:sz w:val="22"/>
          <w:szCs w:val="22"/>
          <w:lang w:val="en"/>
        </w:rPr>
        <w:t>APPLICA, CESEP</w:t>
      </w:r>
      <w:r w:rsidR="00A669A0">
        <w:rPr>
          <w:rStyle w:val="Hyperlink"/>
          <w:sz w:val="22"/>
          <w:szCs w:val="22"/>
          <w:lang w:val="en"/>
        </w:rPr>
        <w:t xml:space="preserve"> and European Centre </w:t>
      </w:r>
      <w:r w:rsidR="00A669A0" w:rsidRPr="00903E9B">
        <w:rPr>
          <w:rStyle w:val="Hyperlink"/>
          <w:i/>
          <w:sz w:val="22"/>
          <w:szCs w:val="22"/>
          <w:lang w:val="en"/>
        </w:rPr>
        <w:t>Study of compilation of disability statistical data from the administrative registers of the member states</w:t>
      </w:r>
      <w:r w:rsidR="00A669A0">
        <w:rPr>
          <w:rStyle w:val="Hyperlink"/>
          <w:sz w:val="22"/>
          <w:szCs w:val="22"/>
          <w:lang w:val="en"/>
        </w:rPr>
        <w:t xml:space="preserve"> (European Commision </w:t>
      </w:r>
      <w:r w:rsidR="00A669A0" w:rsidRPr="00A669A0">
        <w:rPr>
          <w:rStyle w:val="Hyperlink"/>
          <w:sz w:val="22"/>
          <w:szCs w:val="22"/>
          <w:lang w:val="en"/>
        </w:rPr>
        <w:t>200</w:t>
      </w:r>
      <w:r w:rsidR="00A669A0">
        <w:rPr>
          <w:rStyle w:val="Hyperlink"/>
          <w:sz w:val="22"/>
          <w:szCs w:val="22"/>
          <w:lang w:val="en"/>
        </w:rPr>
        <w:t>8)</w:t>
      </w:r>
      <w:r w:rsidR="00A669A0" w:rsidRPr="00A669A0">
        <w:rPr>
          <w:rStyle w:val="Hyperlink"/>
          <w:sz w:val="22"/>
          <w:szCs w:val="22"/>
          <w:lang w:val="en"/>
        </w:rPr>
        <w:t xml:space="preserve">. </w:t>
      </w:r>
    </w:p>
  </w:footnote>
  <w:footnote w:id="8">
    <w:p w14:paraId="2FCE03F9" w14:textId="14F1F506" w:rsidR="00A567A4" w:rsidRPr="00903E9B" w:rsidRDefault="00A567A4" w:rsidP="00B63E94">
      <w:pPr>
        <w:pStyle w:val="FootnoteText"/>
        <w:jc w:val="both"/>
        <w:rPr>
          <w:rFonts w:asciiTheme="majorBidi" w:hAnsiTheme="majorBidi" w:cstheme="majorBidi"/>
          <w:sz w:val="22"/>
          <w:szCs w:val="22"/>
        </w:rPr>
      </w:pPr>
      <w:r w:rsidRPr="00570A96">
        <w:rPr>
          <w:rStyle w:val="FootnoteReference"/>
          <w:sz w:val="22"/>
          <w:szCs w:val="22"/>
        </w:rPr>
        <w:footnoteRef/>
      </w:r>
      <w:r w:rsidRPr="00570A96">
        <w:rPr>
          <w:sz w:val="22"/>
          <w:szCs w:val="22"/>
        </w:rPr>
        <w:t xml:space="preserve"> </w:t>
      </w:r>
      <w:r w:rsidRPr="00570A96">
        <w:rPr>
          <w:rFonts w:asciiTheme="majorBidi" w:hAnsiTheme="majorBidi" w:cstheme="majorBidi"/>
          <w:sz w:val="22"/>
          <w:szCs w:val="22"/>
        </w:rPr>
        <w:t xml:space="preserve"> See </w:t>
      </w:r>
      <w:r w:rsidR="00EE6F87">
        <w:rPr>
          <w:rFonts w:asciiTheme="majorBidi" w:hAnsiTheme="majorBidi" w:cstheme="majorBidi"/>
          <w:sz w:val="22"/>
          <w:szCs w:val="22"/>
        </w:rPr>
        <w:t>f</w:t>
      </w:r>
      <w:r w:rsidR="00EE6F87" w:rsidRPr="00570A96">
        <w:rPr>
          <w:rFonts w:asciiTheme="majorBidi" w:hAnsiTheme="majorBidi" w:cstheme="majorBidi"/>
          <w:sz w:val="22"/>
          <w:szCs w:val="22"/>
        </w:rPr>
        <w:t xml:space="preserve">or </w:t>
      </w:r>
      <w:r w:rsidRPr="00570A96">
        <w:rPr>
          <w:rFonts w:asciiTheme="majorBidi" w:hAnsiTheme="majorBidi" w:cstheme="majorBidi"/>
          <w:sz w:val="22"/>
          <w:szCs w:val="22"/>
        </w:rPr>
        <w:t xml:space="preserve">example, </w:t>
      </w:r>
      <w:r w:rsidR="00524D5E" w:rsidRPr="00524D5E">
        <w:rPr>
          <w:rFonts w:asciiTheme="majorBidi" w:hAnsiTheme="majorBidi" w:cstheme="majorBidi"/>
          <w:sz w:val="22"/>
          <w:szCs w:val="22"/>
        </w:rPr>
        <w:t>Daron Acemoglu and Joshua Angrist</w:t>
      </w:r>
      <w:r w:rsidR="00C91D28">
        <w:rPr>
          <w:rFonts w:asciiTheme="majorBidi" w:hAnsiTheme="majorBidi" w:cstheme="majorBidi"/>
          <w:sz w:val="22"/>
          <w:szCs w:val="22"/>
        </w:rPr>
        <w:t>,</w:t>
      </w:r>
      <w:r w:rsidR="00524D5E">
        <w:rPr>
          <w:rFonts w:asciiTheme="majorBidi" w:hAnsiTheme="majorBidi" w:cstheme="majorBidi"/>
          <w:sz w:val="22"/>
          <w:szCs w:val="22"/>
        </w:rPr>
        <w:t xml:space="preserve"> </w:t>
      </w:r>
      <w:r w:rsidR="00524D5E" w:rsidRPr="00903E9B">
        <w:rPr>
          <w:rFonts w:asciiTheme="majorBidi" w:hAnsiTheme="majorBidi" w:cstheme="majorBidi"/>
          <w:i/>
          <w:sz w:val="22"/>
          <w:szCs w:val="22"/>
        </w:rPr>
        <w:t xml:space="preserve">Consequences of employment protection? The case of the </w:t>
      </w:r>
      <w:r w:rsidR="00903E9B" w:rsidRPr="00903E9B">
        <w:rPr>
          <w:rFonts w:asciiTheme="majorBidi" w:hAnsiTheme="majorBidi" w:cstheme="majorBidi"/>
          <w:i/>
          <w:sz w:val="22"/>
          <w:szCs w:val="22"/>
        </w:rPr>
        <w:t>Americans with Disabilities Act</w:t>
      </w:r>
      <w:r w:rsidR="00903E9B">
        <w:rPr>
          <w:rFonts w:asciiTheme="majorBidi" w:hAnsiTheme="majorBidi" w:cstheme="majorBidi"/>
          <w:sz w:val="22"/>
          <w:szCs w:val="22"/>
        </w:rPr>
        <w:t xml:space="preserve"> (</w:t>
      </w:r>
      <w:r w:rsidR="00524D5E" w:rsidRPr="00524D5E">
        <w:rPr>
          <w:rFonts w:asciiTheme="majorBidi" w:hAnsiTheme="majorBidi" w:cstheme="majorBidi"/>
          <w:sz w:val="22"/>
          <w:szCs w:val="22"/>
        </w:rPr>
        <w:t xml:space="preserve">National </w:t>
      </w:r>
      <w:r w:rsidR="00903E9B">
        <w:rPr>
          <w:rFonts w:asciiTheme="majorBidi" w:hAnsiTheme="majorBidi" w:cstheme="majorBidi"/>
          <w:sz w:val="22"/>
          <w:szCs w:val="22"/>
        </w:rPr>
        <w:t>B</w:t>
      </w:r>
      <w:r w:rsidR="00524D5E" w:rsidRPr="00524D5E">
        <w:rPr>
          <w:rFonts w:asciiTheme="majorBidi" w:hAnsiTheme="majorBidi" w:cstheme="majorBidi"/>
          <w:sz w:val="22"/>
          <w:szCs w:val="22"/>
        </w:rPr>
        <w:t xml:space="preserve">ureau of </w:t>
      </w:r>
      <w:r w:rsidR="00903E9B">
        <w:rPr>
          <w:rFonts w:asciiTheme="majorBidi" w:hAnsiTheme="majorBidi" w:cstheme="majorBidi"/>
          <w:sz w:val="22"/>
          <w:szCs w:val="22"/>
        </w:rPr>
        <w:t>E</w:t>
      </w:r>
      <w:r w:rsidR="00524D5E" w:rsidRPr="00524D5E">
        <w:rPr>
          <w:rFonts w:asciiTheme="majorBidi" w:hAnsiTheme="majorBidi" w:cstheme="majorBidi"/>
          <w:sz w:val="22"/>
          <w:szCs w:val="22"/>
        </w:rPr>
        <w:t xml:space="preserve">conomic </w:t>
      </w:r>
      <w:r w:rsidR="00903E9B">
        <w:rPr>
          <w:rFonts w:asciiTheme="majorBidi" w:hAnsiTheme="majorBidi" w:cstheme="majorBidi"/>
          <w:sz w:val="22"/>
          <w:szCs w:val="22"/>
        </w:rPr>
        <w:t>R</w:t>
      </w:r>
      <w:r w:rsidR="00524D5E" w:rsidRPr="00524D5E">
        <w:rPr>
          <w:rFonts w:asciiTheme="majorBidi" w:hAnsiTheme="majorBidi" w:cstheme="majorBidi"/>
          <w:sz w:val="22"/>
          <w:szCs w:val="22"/>
        </w:rPr>
        <w:t>esearch</w:t>
      </w:r>
      <w:r w:rsidR="00903E9B" w:rsidRPr="00903E9B">
        <w:rPr>
          <w:rFonts w:asciiTheme="majorBidi" w:hAnsiTheme="majorBidi" w:cstheme="majorBidi"/>
          <w:sz w:val="22"/>
          <w:szCs w:val="22"/>
        </w:rPr>
        <w:t xml:space="preserve"> Working Paper No. 6670</w:t>
      </w:r>
      <w:r w:rsidR="00524D5E" w:rsidRPr="00524D5E">
        <w:rPr>
          <w:rFonts w:asciiTheme="majorBidi" w:hAnsiTheme="majorBidi" w:cstheme="majorBidi"/>
          <w:sz w:val="22"/>
          <w:szCs w:val="22"/>
        </w:rPr>
        <w:t xml:space="preserve"> 1998</w:t>
      </w:r>
      <w:r w:rsidR="00903E9B">
        <w:rPr>
          <w:rFonts w:asciiTheme="majorBidi" w:hAnsiTheme="majorBidi" w:cstheme="majorBidi"/>
          <w:sz w:val="22"/>
          <w:szCs w:val="22"/>
        </w:rPr>
        <w:t xml:space="preserve">); </w:t>
      </w:r>
      <w:r w:rsidR="00903E9B" w:rsidRPr="00903E9B">
        <w:rPr>
          <w:rFonts w:asciiTheme="majorBidi" w:hAnsiTheme="majorBidi" w:cstheme="majorBidi"/>
          <w:sz w:val="22"/>
          <w:szCs w:val="22"/>
        </w:rPr>
        <w:t>Clare Bambra and Daniel Pope</w:t>
      </w:r>
      <w:r w:rsidR="00C91D28">
        <w:rPr>
          <w:rFonts w:asciiTheme="majorBidi" w:hAnsiTheme="majorBidi" w:cstheme="majorBidi"/>
          <w:sz w:val="22"/>
          <w:szCs w:val="22"/>
        </w:rPr>
        <w:t>,</w:t>
      </w:r>
      <w:r w:rsidR="00903E9B" w:rsidRPr="00903E9B">
        <w:rPr>
          <w:rFonts w:asciiTheme="majorBidi" w:hAnsiTheme="majorBidi" w:cstheme="majorBidi"/>
          <w:sz w:val="22"/>
          <w:szCs w:val="22"/>
        </w:rPr>
        <w:t xml:space="preserve"> ‘Evidenced Based Public health Policy and Practice: What are the effects of anti-discriminatory legislation on socioeconomic inequalities in the employment consequences of ill health and disability?’ </w:t>
      </w:r>
      <w:proofErr w:type="gramStart"/>
      <w:r w:rsidR="00903E9B" w:rsidRPr="00903E9B">
        <w:rPr>
          <w:rFonts w:asciiTheme="majorBidi" w:hAnsiTheme="majorBidi" w:cstheme="majorBidi"/>
          <w:sz w:val="22"/>
          <w:szCs w:val="22"/>
        </w:rPr>
        <w:t>61 Journal of Epidemiology and Community Health (2007) 421.</w:t>
      </w:r>
      <w:proofErr w:type="gramEnd"/>
    </w:p>
  </w:footnote>
  <w:footnote w:id="9">
    <w:p w14:paraId="0D7B38E8" w14:textId="4D8C5E08" w:rsidR="00A567A4" w:rsidRPr="00570A96" w:rsidRDefault="00A567A4" w:rsidP="00B63E94">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Pr="00570A96">
        <w:rPr>
          <w:rFonts w:asciiTheme="majorBidi" w:eastAsia="Times New Roman" w:hAnsiTheme="majorBidi" w:cstheme="majorBidi"/>
          <w:sz w:val="22"/>
          <w:szCs w:val="22"/>
        </w:rPr>
        <w:t xml:space="preserve"> Mark Priestley,</w:t>
      </w:r>
      <w:r>
        <w:rPr>
          <w:rFonts w:asciiTheme="majorBidi" w:eastAsia="Times New Roman" w:hAnsiTheme="majorBidi" w:cstheme="majorBidi"/>
          <w:sz w:val="22"/>
          <w:szCs w:val="22"/>
        </w:rPr>
        <w:t xml:space="preserve"> </w:t>
      </w:r>
      <w:r w:rsidRPr="00B63E94">
        <w:rPr>
          <w:rFonts w:asciiTheme="majorBidi" w:eastAsia="Times New Roman" w:hAnsiTheme="majorBidi" w:cstheme="majorBidi"/>
          <w:i/>
          <w:sz w:val="22"/>
          <w:szCs w:val="22"/>
        </w:rPr>
        <w:t>Disability: A Life Course Approach</w:t>
      </w:r>
      <w:r w:rsidRPr="00570A96">
        <w:rPr>
          <w:rFonts w:asciiTheme="majorBidi" w:eastAsia="Times New Roman" w:hAnsiTheme="majorBidi" w:cstheme="majorBidi"/>
          <w:sz w:val="22"/>
          <w:szCs w:val="22"/>
        </w:rPr>
        <w:t xml:space="preserve"> (Polity 2003).</w:t>
      </w:r>
    </w:p>
  </w:footnote>
  <w:footnote w:id="10">
    <w:p w14:paraId="4B42E0C4" w14:textId="5B19F9CF" w:rsidR="00A567A4" w:rsidRPr="00570A96" w:rsidRDefault="00A567A4" w:rsidP="00B63E94">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Pr="00570A96">
        <w:rPr>
          <w:rFonts w:asciiTheme="majorBidi" w:hAnsiTheme="majorBidi" w:cstheme="majorBidi"/>
          <w:sz w:val="22"/>
          <w:szCs w:val="22"/>
        </w:rPr>
        <w:t xml:space="preserve"> Union of Physically Impaired Against Segregation/Disability Alliance, </w:t>
      </w:r>
      <w:r w:rsidRPr="00B63E94">
        <w:rPr>
          <w:rFonts w:asciiTheme="majorBidi" w:hAnsiTheme="majorBidi" w:cstheme="majorBidi"/>
          <w:i/>
          <w:sz w:val="22"/>
          <w:szCs w:val="22"/>
        </w:rPr>
        <w:t>Fundamental Principles of Disability</w:t>
      </w:r>
      <w:r w:rsidRPr="00570A96">
        <w:rPr>
          <w:rFonts w:asciiTheme="majorBidi" w:hAnsiTheme="majorBidi" w:cstheme="majorBidi"/>
          <w:sz w:val="22"/>
          <w:szCs w:val="22"/>
        </w:rPr>
        <w:t xml:space="preserve"> (UPIAS / Disability Alliance 1976) 15</w:t>
      </w:r>
      <w:r w:rsidR="00C91D28">
        <w:rPr>
          <w:rFonts w:asciiTheme="majorBidi" w:hAnsiTheme="majorBidi" w:cstheme="majorBidi"/>
          <w:sz w:val="22"/>
          <w:szCs w:val="22"/>
        </w:rPr>
        <w:t>.</w:t>
      </w:r>
    </w:p>
  </w:footnote>
  <w:footnote w:id="11">
    <w:p w14:paraId="5FB599CA" w14:textId="49A66094"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Colin Barnes, ‘A Working Social Model? </w:t>
      </w:r>
      <w:proofErr w:type="gramStart"/>
      <w:r w:rsidRPr="00570A96">
        <w:rPr>
          <w:sz w:val="22"/>
          <w:szCs w:val="22"/>
        </w:rPr>
        <w:t>Disability, Work and Disability Politics in the 21</w:t>
      </w:r>
      <w:r w:rsidRPr="00B63E94">
        <w:rPr>
          <w:sz w:val="22"/>
          <w:szCs w:val="22"/>
          <w:vertAlign w:val="superscript"/>
        </w:rPr>
        <w:t>st</w:t>
      </w:r>
      <w:r w:rsidRPr="00570A96">
        <w:rPr>
          <w:sz w:val="22"/>
          <w:szCs w:val="22"/>
        </w:rPr>
        <w:t xml:space="preserve"> Century’ (2000) 20 Critical Social Policy 441.</w:t>
      </w:r>
      <w:proofErr w:type="gramEnd"/>
    </w:p>
  </w:footnote>
  <w:footnote w:id="12">
    <w:p w14:paraId="54D9CB60" w14:textId="3C6ED709" w:rsidR="00A567A4" w:rsidRPr="00570A96" w:rsidRDefault="00A567A4" w:rsidP="00B63E94">
      <w:pPr>
        <w:pStyle w:val="FootnoteText"/>
        <w:jc w:val="both"/>
        <w:rPr>
          <w:sz w:val="22"/>
          <w:szCs w:val="22"/>
          <w:lang w:val="en-GB"/>
        </w:rPr>
      </w:pPr>
      <w:r w:rsidRPr="00570A96">
        <w:rPr>
          <w:rStyle w:val="FootnoteReference"/>
          <w:sz w:val="22"/>
          <w:szCs w:val="22"/>
        </w:rPr>
        <w:footnoteRef/>
      </w:r>
      <w:r w:rsidRPr="00570A96">
        <w:rPr>
          <w:sz w:val="22"/>
          <w:szCs w:val="22"/>
        </w:rPr>
        <w:t xml:space="preserve"> </w:t>
      </w:r>
      <w:r w:rsidRPr="00B63E94">
        <w:rPr>
          <w:bCs/>
          <w:sz w:val="22"/>
          <w:szCs w:val="22"/>
          <w:lang w:val="en-GB"/>
        </w:rPr>
        <w:t xml:space="preserve">Gøsta </w:t>
      </w:r>
      <w:r w:rsidRPr="00570A96">
        <w:rPr>
          <w:sz w:val="22"/>
          <w:szCs w:val="22"/>
        </w:rPr>
        <w:t xml:space="preserve">Esping-Andersen, </w:t>
      </w:r>
      <w:proofErr w:type="gramStart"/>
      <w:r w:rsidRPr="00570A96">
        <w:rPr>
          <w:i/>
          <w:iCs/>
          <w:sz w:val="22"/>
          <w:szCs w:val="22"/>
        </w:rPr>
        <w:t>The</w:t>
      </w:r>
      <w:proofErr w:type="gramEnd"/>
      <w:r w:rsidRPr="00570A96">
        <w:rPr>
          <w:i/>
          <w:iCs/>
          <w:sz w:val="22"/>
          <w:szCs w:val="22"/>
        </w:rPr>
        <w:t xml:space="preserve"> Three Worlds of Welfare Capitalism</w:t>
      </w:r>
      <w:r w:rsidRPr="00570A96">
        <w:rPr>
          <w:sz w:val="22"/>
          <w:szCs w:val="22"/>
        </w:rPr>
        <w:t xml:space="preserve"> (Polity 1990).</w:t>
      </w:r>
    </w:p>
  </w:footnote>
  <w:footnote w:id="13">
    <w:p w14:paraId="425BF86B" w14:textId="0BBB8E4C" w:rsidR="00A567A4" w:rsidRPr="00570A96" w:rsidRDefault="00A567A4" w:rsidP="00B63E94">
      <w:pPr>
        <w:pStyle w:val="FootnoteText"/>
        <w:jc w:val="both"/>
        <w:rPr>
          <w:sz w:val="22"/>
          <w:szCs w:val="22"/>
          <w:lang w:val="en-AU"/>
        </w:rPr>
      </w:pPr>
      <w:r w:rsidRPr="00570A96">
        <w:rPr>
          <w:rStyle w:val="FootnoteReference"/>
          <w:sz w:val="22"/>
          <w:szCs w:val="22"/>
        </w:rPr>
        <w:footnoteRef/>
      </w:r>
      <w:r w:rsidRPr="00570A96">
        <w:rPr>
          <w:sz w:val="22"/>
          <w:szCs w:val="22"/>
        </w:rPr>
        <w:t xml:space="preserve"> Lars </w:t>
      </w:r>
      <w:r w:rsidRPr="00570A96">
        <w:rPr>
          <w:rFonts w:ascii="Cambria" w:eastAsia="MS Mincho" w:hAnsi="Cambria" w:cs="Times New Roman"/>
          <w:sz w:val="22"/>
          <w:szCs w:val="22"/>
        </w:rPr>
        <w:t xml:space="preserve">Calmfors, </w:t>
      </w:r>
      <w:r w:rsidRPr="00B63E94">
        <w:rPr>
          <w:rFonts w:ascii="Cambria" w:eastAsia="MS Mincho" w:hAnsi="Cambria" w:cs="Times New Roman"/>
          <w:i/>
          <w:sz w:val="22"/>
          <w:szCs w:val="22"/>
        </w:rPr>
        <w:t>Active Labour Market Policy and Unemployment: A Framework for the Analysis of Crucial Design Features</w:t>
      </w:r>
      <w:r w:rsidRPr="00570A96">
        <w:rPr>
          <w:rFonts w:ascii="Cambria" w:eastAsia="MS Mincho" w:hAnsi="Cambria" w:cs="Times New Roman"/>
          <w:sz w:val="22"/>
          <w:szCs w:val="22"/>
        </w:rPr>
        <w:t xml:space="preserve"> (Organisation for Economic Co-operation and Development</w:t>
      </w:r>
      <w:r w:rsidR="00C91D28">
        <w:rPr>
          <w:rFonts w:ascii="Cambria" w:eastAsia="MS Mincho" w:hAnsi="Cambria" w:cs="Times New Roman"/>
          <w:sz w:val="22"/>
          <w:szCs w:val="22"/>
        </w:rPr>
        <w:t xml:space="preserve"> </w:t>
      </w:r>
      <w:r w:rsidRPr="00570A96">
        <w:rPr>
          <w:rFonts w:ascii="Cambria" w:eastAsia="MS Mincho" w:hAnsi="Cambria" w:cs="Times New Roman"/>
          <w:sz w:val="22"/>
          <w:szCs w:val="22"/>
        </w:rPr>
        <w:t>1994).</w:t>
      </w:r>
    </w:p>
  </w:footnote>
  <w:footnote w:id="14">
    <w:p w14:paraId="1BD577B1" w14:textId="41E1C65C" w:rsidR="00A567A4" w:rsidRPr="000B1E1C" w:rsidRDefault="00A567A4" w:rsidP="00B63E94">
      <w:pPr>
        <w:pStyle w:val="FootnoteText"/>
        <w:jc w:val="both"/>
        <w:rPr>
          <w:rFonts w:ascii="Cambria" w:eastAsia="MS Mincho" w:hAnsi="Cambria" w:cs="Times New Roman TUR"/>
          <w:sz w:val="22"/>
          <w:szCs w:val="22"/>
        </w:rPr>
      </w:pPr>
      <w:r w:rsidRPr="00570A96">
        <w:rPr>
          <w:rStyle w:val="FootnoteReference"/>
          <w:sz w:val="22"/>
          <w:szCs w:val="22"/>
        </w:rPr>
        <w:footnoteRef/>
      </w:r>
      <w:r w:rsidRPr="00570A96">
        <w:rPr>
          <w:sz w:val="22"/>
          <w:szCs w:val="22"/>
        </w:rPr>
        <w:t xml:space="preserve"> </w:t>
      </w:r>
      <w:r w:rsidR="00EE6F87">
        <w:rPr>
          <w:sz w:val="22"/>
          <w:szCs w:val="22"/>
        </w:rPr>
        <w:t xml:space="preserve">Peter </w:t>
      </w:r>
      <w:r w:rsidR="00EE6F87" w:rsidRPr="00EE6F87">
        <w:rPr>
          <w:sz w:val="22"/>
          <w:szCs w:val="22"/>
        </w:rPr>
        <w:t>Dwyer, P Welfare Rights and Responsibilities: Contesting Social Citizenship</w:t>
      </w:r>
      <w:r w:rsidR="00EE6F87">
        <w:rPr>
          <w:sz w:val="22"/>
          <w:szCs w:val="22"/>
        </w:rPr>
        <w:t xml:space="preserve"> (</w:t>
      </w:r>
      <w:r w:rsidR="00EE6F87" w:rsidRPr="00EE6F87">
        <w:rPr>
          <w:sz w:val="22"/>
          <w:szCs w:val="22"/>
        </w:rPr>
        <w:t>Policy Press</w:t>
      </w:r>
      <w:r w:rsidR="00EE6F87">
        <w:rPr>
          <w:sz w:val="22"/>
          <w:szCs w:val="22"/>
        </w:rPr>
        <w:t xml:space="preserve"> 2000);</w:t>
      </w:r>
      <w:r w:rsidRPr="00570A96">
        <w:rPr>
          <w:rFonts w:ascii="Cambria" w:eastAsia="MS Mincho" w:hAnsi="Cambria" w:cs="Times New Roman"/>
          <w:sz w:val="22"/>
          <w:szCs w:val="22"/>
        </w:rPr>
        <w:t xml:space="preserve"> </w:t>
      </w:r>
      <w:r w:rsidRPr="00570A96">
        <w:rPr>
          <w:rFonts w:ascii="Cambria" w:eastAsia="MS Mincho" w:hAnsi="Cambria" w:cs="Times New Roman TUR"/>
          <w:sz w:val="22"/>
          <w:szCs w:val="22"/>
        </w:rPr>
        <w:t xml:space="preserve">Peter Dwyer, </w:t>
      </w:r>
      <w:r w:rsidRPr="00B63E94">
        <w:rPr>
          <w:rFonts w:ascii="Cambria" w:eastAsia="MS Mincho" w:hAnsi="Cambria" w:cs="Times New Roman TUR"/>
          <w:i/>
          <w:sz w:val="22"/>
          <w:szCs w:val="22"/>
        </w:rPr>
        <w:t>Understanding Social Citizenship: Themes and Perspectives for Policy and Practice</w:t>
      </w:r>
      <w:r w:rsidRPr="00570A96">
        <w:rPr>
          <w:rFonts w:ascii="Cambria" w:eastAsia="MS Mincho" w:hAnsi="Cambria" w:cs="Times New Roman TUR"/>
          <w:sz w:val="22"/>
          <w:szCs w:val="22"/>
        </w:rPr>
        <w:t xml:space="preserve"> (Policy Press 2010)</w:t>
      </w:r>
      <w:r>
        <w:rPr>
          <w:rFonts w:ascii="Cambria" w:eastAsia="MS Mincho" w:hAnsi="Cambria" w:cs="Times New Roman TUR"/>
          <w:sz w:val="22"/>
          <w:szCs w:val="22"/>
        </w:rPr>
        <w:t xml:space="preserve"> </w:t>
      </w:r>
    </w:p>
  </w:footnote>
  <w:footnote w:id="15">
    <w:p w14:paraId="4552175E" w14:textId="011C6200" w:rsidR="00A567A4" w:rsidRPr="00570A96" w:rsidRDefault="00A567A4" w:rsidP="00EE6F87">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00EE6F87">
        <w:rPr>
          <w:sz w:val="22"/>
          <w:szCs w:val="22"/>
        </w:rPr>
        <w:t xml:space="preserve">Paul </w:t>
      </w:r>
      <w:r w:rsidRPr="00903E9B">
        <w:rPr>
          <w:rFonts w:ascii="Cambria" w:eastAsia="MS Mincho" w:hAnsi="Cambria" w:cs="Times New Roman"/>
          <w:sz w:val="22"/>
          <w:szCs w:val="22"/>
        </w:rPr>
        <w:t>Abberley</w:t>
      </w:r>
      <w:r w:rsidR="00EE6F87" w:rsidRPr="00903E9B">
        <w:rPr>
          <w:rFonts w:ascii="Cambria" w:eastAsia="MS Mincho" w:hAnsi="Cambria" w:cs="Times New Roman"/>
          <w:sz w:val="22"/>
          <w:szCs w:val="22"/>
        </w:rPr>
        <w:t xml:space="preserve">, </w:t>
      </w:r>
      <w:r w:rsidR="00B81539">
        <w:rPr>
          <w:rFonts w:ascii="Cambria" w:eastAsia="MS Mincho" w:hAnsi="Cambria" w:cs="Times New Roman"/>
          <w:sz w:val="22"/>
          <w:szCs w:val="22"/>
        </w:rPr>
        <w:t>‘</w:t>
      </w:r>
      <w:r w:rsidR="00EE6F87" w:rsidRPr="00B81539">
        <w:rPr>
          <w:rFonts w:ascii="Cambria" w:eastAsia="MS Mincho" w:hAnsi="Cambria" w:cs="Times New Roman"/>
          <w:sz w:val="22"/>
          <w:szCs w:val="22"/>
        </w:rPr>
        <w:t>The Significance of Work for the Citizenship of Disabled People</w:t>
      </w:r>
      <w:r w:rsidR="00B81539">
        <w:rPr>
          <w:rFonts w:ascii="Cambria" w:eastAsia="MS Mincho" w:hAnsi="Cambria" w:cs="Times New Roman"/>
          <w:sz w:val="22"/>
          <w:szCs w:val="22"/>
        </w:rPr>
        <w:t>’</w:t>
      </w:r>
      <w:r w:rsidR="00EE6F87">
        <w:rPr>
          <w:rFonts w:ascii="Cambria" w:eastAsia="MS Mincho" w:hAnsi="Cambria" w:cs="Times New Roman"/>
          <w:sz w:val="22"/>
          <w:szCs w:val="22"/>
        </w:rPr>
        <w:t xml:space="preserve">, paper presented </w:t>
      </w:r>
      <w:r w:rsidR="00EE6F87" w:rsidRPr="00EE6F87">
        <w:rPr>
          <w:rFonts w:ascii="Cambria" w:eastAsia="MS Mincho" w:hAnsi="Cambria" w:cs="Times New Roman"/>
          <w:sz w:val="22"/>
          <w:szCs w:val="22"/>
        </w:rPr>
        <w:t xml:space="preserve">at University College Dublin </w:t>
      </w:r>
      <w:r w:rsidR="00EE6F87">
        <w:rPr>
          <w:rFonts w:ascii="Cambria" w:eastAsia="MS Mincho" w:hAnsi="Cambria" w:cs="Times New Roman"/>
          <w:sz w:val="22"/>
          <w:szCs w:val="22"/>
        </w:rPr>
        <w:t xml:space="preserve">15 April </w:t>
      </w:r>
      <w:r w:rsidR="00EE6F87" w:rsidRPr="00EE6F87">
        <w:rPr>
          <w:rFonts w:ascii="Cambria" w:eastAsia="MS Mincho" w:hAnsi="Cambria" w:cs="Times New Roman"/>
          <w:sz w:val="22"/>
          <w:szCs w:val="22"/>
        </w:rPr>
        <w:t>1999</w:t>
      </w:r>
      <w:r w:rsidR="00EE6F87">
        <w:rPr>
          <w:rFonts w:ascii="Cambria" w:eastAsia="MS Mincho" w:hAnsi="Cambria" w:cs="Times New Roman"/>
          <w:sz w:val="22"/>
          <w:szCs w:val="22"/>
        </w:rPr>
        <w:t xml:space="preserve"> </w:t>
      </w:r>
      <w:r w:rsidR="00EE6F87" w:rsidRPr="00570A96">
        <w:rPr>
          <w:sz w:val="22"/>
          <w:szCs w:val="22"/>
          <w:lang w:val="en"/>
        </w:rPr>
        <w:t>(&lt;</w:t>
      </w:r>
      <w:r w:rsidR="00EE6F87" w:rsidRPr="00EE6F87">
        <w:rPr>
          <w:sz w:val="22"/>
          <w:szCs w:val="22"/>
          <w:lang w:val="en"/>
        </w:rPr>
        <w:t>http://disability-studies.leeds.ac.uk/files/library/Abberley-sigofwork.rtf</w:t>
      </w:r>
      <w:r w:rsidR="00EE6F87">
        <w:rPr>
          <w:sz w:val="22"/>
          <w:szCs w:val="22"/>
          <w:lang w:val="en"/>
        </w:rPr>
        <w:t>)</w:t>
      </w:r>
      <w:r w:rsidR="00EE6F87" w:rsidRPr="00EE6F87">
        <w:rPr>
          <w:rFonts w:ascii="Cambria" w:eastAsia="MS Mincho" w:hAnsi="Cambria" w:cs="Times New Roman"/>
          <w:sz w:val="22"/>
          <w:szCs w:val="22"/>
        </w:rPr>
        <w:t xml:space="preserve">. </w:t>
      </w:r>
      <w:r w:rsidR="00EE6F87" w:rsidRPr="00903E9B">
        <w:rPr>
          <w:rFonts w:ascii="Cambria" w:eastAsia="MS Mincho" w:hAnsi="Cambria" w:cs="Times New Roman"/>
          <w:sz w:val="22"/>
          <w:szCs w:val="22"/>
        </w:rPr>
        <w:t>1</w:t>
      </w:r>
      <w:r w:rsidRPr="00903E9B">
        <w:rPr>
          <w:rFonts w:ascii="Cambria" w:eastAsia="MS Mincho" w:hAnsi="Cambria" w:cs="Times New Roman"/>
          <w:sz w:val="22"/>
          <w:szCs w:val="22"/>
        </w:rPr>
        <w:t>5</w:t>
      </w:r>
    </w:p>
  </w:footnote>
  <w:footnote w:id="16">
    <w:p w14:paraId="79575540" w14:textId="0E914FD8" w:rsidR="00A567A4" w:rsidRPr="00570A96" w:rsidRDefault="00A567A4" w:rsidP="00B63E94">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Pr="00570A96">
        <w:rPr>
          <w:rFonts w:ascii="Cambria" w:eastAsia="MS Mincho" w:hAnsi="Cambria" w:cs="Times New Roman"/>
          <w:sz w:val="22"/>
          <w:szCs w:val="22"/>
        </w:rPr>
        <w:t xml:space="preserve"> Janet Newman, ‘The ‘’Double Dynamics’’ of Activation: Institutions, Citizens and the Remaking of Welfare Governance’ (2007) 27 International Journal of Sociology and Social Policy 364, 2. </w:t>
      </w:r>
    </w:p>
  </w:footnote>
  <w:footnote w:id="17">
    <w:p w14:paraId="266E6BDE" w14:textId="36ABD234" w:rsidR="00A567A4" w:rsidRPr="00570A96" w:rsidRDefault="00A567A4" w:rsidP="00B63E94">
      <w:pPr>
        <w:pStyle w:val="FootnoteText"/>
        <w:jc w:val="both"/>
        <w:rPr>
          <w:sz w:val="22"/>
          <w:szCs w:val="22"/>
          <w:lang w:val="en-AU"/>
        </w:rPr>
      </w:pPr>
      <w:r w:rsidRPr="00570A96">
        <w:rPr>
          <w:rStyle w:val="FootnoteReference"/>
          <w:sz w:val="22"/>
          <w:szCs w:val="22"/>
        </w:rPr>
        <w:footnoteRef/>
      </w:r>
      <w:r w:rsidRPr="00570A96">
        <w:rPr>
          <w:sz w:val="22"/>
          <w:szCs w:val="22"/>
        </w:rPr>
        <w:t xml:space="preserve"> </w:t>
      </w:r>
      <w:proofErr w:type="gramStart"/>
      <w:r w:rsidRPr="00570A96">
        <w:rPr>
          <w:rFonts w:ascii="Cambria" w:eastAsia="MS Mincho" w:hAnsi="Cambria" w:cs="Times New Roman"/>
          <w:sz w:val="22"/>
          <w:szCs w:val="22"/>
        </w:rPr>
        <w:t>Calmfors (n 13) 8.</w:t>
      </w:r>
      <w:proofErr w:type="gramEnd"/>
    </w:p>
  </w:footnote>
  <w:footnote w:id="18">
    <w:p w14:paraId="752CE19C" w14:textId="77B0DC8B" w:rsidR="00A567A4" w:rsidRPr="00903E9B"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w:t>
      </w:r>
      <w:r w:rsidR="00B81539">
        <w:rPr>
          <w:sz w:val="22"/>
          <w:szCs w:val="22"/>
        </w:rPr>
        <w:t xml:space="preserve">Neil </w:t>
      </w:r>
      <w:r w:rsidR="00B81539" w:rsidRPr="00B81539">
        <w:rPr>
          <w:sz w:val="22"/>
          <w:szCs w:val="22"/>
        </w:rPr>
        <w:t>Gilbert</w:t>
      </w:r>
      <w:r w:rsidR="00B81539">
        <w:rPr>
          <w:sz w:val="22"/>
          <w:szCs w:val="22"/>
        </w:rPr>
        <w:t xml:space="preserve"> and Douglas </w:t>
      </w:r>
      <w:r w:rsidR="00B81539" w:rsidRPr="00B81539">
        <w:rPr>
          <w:sz w:val="22"/>
          <w:szCs w:val="22"/>
        </w:rPr>
        <w:t>Besharov</w:t>
      </w:r>
      <w:r w:rsidR="00B81539">
        <w:rPr>
          <w:sz w:val="22"/>
          <w:szCs w:val="22"/>
        </w:rPr>
        <w:t xml:space="preserve"> ‘</w:t>
      </w:r>
      <w:r w:rsidR="00B81539" w:rsidRPr="00B81539">
        <w:rPr>
          <w:sz w:val="22"/>
          <w:szCs w:val="22"/>
        </w:rPr>
        <w:t>Welfare states amid economic turmoil: adjusting work-oriented policy</w:t>
      </w:r>
      <w:r w:rsidR="00B81539">
        <w:rPr>
          <w:sz w:val="22"/>
          <w:szCs w:val="22"/>
        </w:rPr>
        <w:t>’</w:t>
      </w:r>
      <w:r w:rsidR="00B81539" w:rsidRPr="00B81539">
        <w:rPr>
          <w:sz w:val="22"/>
          <w:szCs w:val="22"/>
        </w:rPr>
        <w:t xml:space="preserve"> (2011)</w:t>
      </w:r>
      <w:r w:rsidR="00B81539">
        <w:rPr>
          <w:sz w:val="22"/>
          <w:szCs w:val="22"/>
        </w:rPr>
        <w:t xml:space="preserve"> 39</w:t>
      </w:r>
      <w:r w:rsidR="00B81539" w:rsidRPr="00B81539">
        <w:rPr>
          <w:sz w:val="22"/>
          <w:szCs w:val="22"/>
        </w:rPr>
        <w:t xml:space="preserve"> Policy and Politics</w:t>
      </w:r>
      <w:r w:rsidR="00B81539">
        <w:rPr>
          <w:sz w:val="22"/>
          <w:szCs w:val="22"/>
        </w:rPr>
        <w:t xml:space="preserve"> </w:t>
      </w:r>
      <w:r w:rsidR="00B81539" w:rsidRPr="00B81539">
        <w:rPr>
          <w:sz w:val="22"/>
          <w:szCs w:val="22"/>
        </w:rPr>
        <w:t>295</w:t>
      </w:r>
      <w:r w:rsidR="00B81539" w:rsidRPr="00570A96">
        <w:rPr>
          <w:rFonts w:asciiTheme="majorBidi" w:hAnsiTheme="majorBidi" w:cstheme="majorBidi"/>
          <w:bCs/>
          <w:sz w:val="22"/>
          <w:szCs w:val="22"/>
          <w:lang w:val="en-IE"/>
        </w:rPr>
        <w:t>.</w:t>
      </w:r>
    </w:p>
  </w:footnote>
  <w:footnote w:id="19">
    <w:p w14:paraId="55D82631" w14:textId="34850E0B" w:rsidR="00A567A4" w:rsidRPr="00570A96" w:rsidRDefault="00A567A4" w:rsidP="00B63E94">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Pr="00570A96">
        <w:rPr>
          <w:rFonts w:ascii="Cambria" w:eastAsia="MS Mincho" w:hAnsi="Cambria" w:cs="Times New Roman"/>
          <w:sz w:val="22"/>
          <w:szCs w:val="22"/>
        </w:rPr>
        <w:t xml:space="preserve"> Bent Greve, </w:t>
      </w:r>
      <w:proofErr w:type="gramStart"/>
      <w:r w:rsidRPr="00570A96">
        <w:rPr>
          <w:rFonts w:ascii="Cambria" w:eastAsia="MS Mincho" w:hAnsi="Cambria" w:cs="Times New Roman"/>
          <w:sz w:val="22"/>
          <w:szCs w:val="22"/>
        </w:rPr>
        <w:t>The</w:t>
      </w:r>
      <w:proofErr w:type="gramEnd"/>
      <w:r w:rsidRPr="00570A96">
        <w:rPr>
          <w:rFonts w:ascii="Cambria" w:eastAsia="MS Mincho" w:hAnsi="Cambria" w:cs="Times New Roman"/>
          <w:sz w:val="22"/>
          <w:szCs w:val="22"/>
        </w:rPr>
        <w:t xml:space="preserve"> Labour Market Situation of Disabled People in European Countries and Implementation of Employment Policies: A Summary of Evidence from Country Reports and Research Studies (ANED 2009); </w:t>
      </w:r>
      <w:r w:rsidRPr="00EF278F">
        <w:rPr>
          <w:rFonts w:ascii="Cambria" w:eastAsia="MS Mincho" w:hAnsi="Cambria" w:cs="Times New Roman"/>
          <w:sz w:val="22"/>
          <w:szCs w:val="22"/>
        </w:rPr>
        <w:t>EIM Business and Policy Research, ‘Active Labour Market Programmes for People with Disabilities: Facts and Figures on Use and Impact, 2002.</w:t>
      </w:r>
    </w:p>
  </w:footnote>
  <w:footnote w:id="20">
    <w:p w14:paraId="603DFDD7" w14:textId="3EF4F372" w:rsidR="00A567A4" w:rsidRPr="00570A96" w:rsidRDefault="00A567A4" w:rsidP="00B63E94">
      <w:pPr>
        <w:pStyle w:val="FootnoteText"/>
        <w:jc w:val="both"/>
        <w:rPr>
          <w:sz w:val="22"/>
          <w:szCs w:val="22"/>
          <w:lang w:val="en-AU"/>
        </w:rPr>
      </w:pPr>
      <w:r w:rsidRPr="00570A96">
        <w:rPr>
          <w:rStyle w:val="FootnoteReference"/>
          <w:sz w:val="22"/>
          <w:szCs w:val="22"/>
        </w:rPr>
        <w:footnoteRef/>
      </w:r>
      <w:r w:rsidRPr="00570A96">
        <w:rPr>
          <w:sz w:val="22"/>
          <w:szCs w:val="22"/>
        </w:rPr>
        <w:t xml:space="preserve"> Organisation for Economic Co-operation and Development</w:t>
      </w:r>
      <w:r w:rsidRPr="00570A96">
        <w:rPr>
          <w:rFonts w:ascii="Cambria" w:eastAsia="MS Mincho" w:hAnsi="Cambria" w:cs="Times New Roman"/>
          <w:sz w:val="22"/>
          <w:szCs w:val="22"/>
        </w:rPr>
        <w:t xml:space="preserve">, </w:t>
      </w:r>
      <w:r w:rsidRPr="00570A96">
        <w:rPr>
          <w:rFonts w:ascii="Cambria" w:eastAsia="MS Mincho" w:hAnsi="Cambria" w:cs="Times New Roman"/>
          <w:i/>
          <w:iCs/>
          <w:sz w:val="22"/>
          <w:szCs w:val="22"/>
        </w:rPr>
        <w:t xml:space="preserve">Sickness, Disability and Work: Breaking the Barriers: A Synthesis of Findings </w:t>
      </w:r>
      <w:proofErr w:type="gramStart"/>
      <w:r w:rsidRPr="00570A96">
        <w:rPr>
          <w:rFonts w:ascii="Cambria" w:eastAsia="MS Mincho" w:hAnsi="Cambria" w:cs="Times New Roman"/>
          <w:i/>
          <w:iCs/>
          <w:sz w:val="22"/>
          <w:szCs w:val="22"/>
        </w:rPr>
        <w:t>Across</w:t>
      </w:r>
      <w:proofErr w:type="gramEnd"/>
      <w:r w:rsidRPr="00570A96">
        <w:rPr>
          <w:rFonts w:ascii="Cambria" w:eastAsia="MS Mincho" w:hAnsi="Cambria" w:cs="Times New Roman"/>
          <w:i/>
          <w:iCs/>
          <w:sz w:val="22"/>
          <w:szCs w:val="22"/>
        </w:rPr>
        <w:t xml:space="preserve"> OECD Countries</w:t>
      </w:r>
      <w:r w:rsidRPr="00570A96">
        <w:rPr>
          <w:rFonts w:ascii="Cambria" w:eastAsia="MS Mincho" w:hAnsi="Cambria" w:cs="Times New Roman"/>
          <w:sz w:val="22"/>
          <w:szCs w:val="22"/>
        </w:rPr>
        <w:t>, (OECD 2010) 1.</w:t>
      </w:r>
    </w:p>
  </w:footnote>
  <w:footnote w:id="21">
    <w:p w14:paraId="45400B5B" w14:textId="3A38A2D4"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Laura Hoffman, ‘Employment Opportunity or a Discrimination Dilemma: Sheltered Workshops and the Employment of the Disabled’ (2013) 16 </w:t>
      </w:r>
      <w:r w:rsidRPr="00570A96">
        <w:rPr>
          <w:sz w:val="22"/>
          <w:szCs w:val="22"/>
          <w:lang w:val="en-GB"/>
        </w:rPr>
        <w:t xml:space="preserve">University of Pennsylvania </w:t>
      </w:r>
      <w:r w:rsidRPr="00570A96">
        <w:rPr>
          <w:bCs/>
          <w:sz w:val="22"/>
          <w:szCs w:val="22"/>
          <w:lang w:val="en-GB"/>
        </w:rPr>
        <w:t>Journal</w:t>
      </w:r>
      <w:r w:rsidRPr="00570A96">
        <w:rPr>
          <w:sz w:val="22"/>
          <w:szCs w:val="22"/>
          <w:lang w:val="en-GB"/>
        </w:rPr>
        <w:t xml:space="preserve"> of Law and Social </w:t>
      </w:r>
      <w:r w:rsidRPr="00570A96">
        <w:rPr>
          <w:bCs/>
          <w:sz w:val="22"/>
          <w:szCs w:val="22"/>
          <w:lang w:val="en-GB"/>
        </w:rPr>
        <w:t>Change</w:t>
      </w:r>
      <w:r w:rsidRPr="00570A96">
        <w:rPr>
          <w:sz w:val="22"/>
          <w:szCs w:val="22"/>
          <w:lang w:val="en-GB"/>
        </w:rPr>
        <w:t xml:space="preserve"> </w:t>
      </w:r>
      <w:r w:rsidRPr="00570A96">
        <w:rPr>
          <w:sz w:val="22"/>
          <w:szCs w:val="22"/>
        </w:rPr>
        <w:t>151.</w:t>
      </w:r>
    </w:p>
  </w:footnote>
  <w:footnote w:id="22">
    <w:p w14:paraId="45006B43" w14:textId="0415DD7E" w:rsidR="00A567A4" w:rsidRPr="00570A96" w:rsidRDefault="00A567A4" w:rsidP="00B63E94">
      <w:pPr>
        <w:pStyle w:val="FootnoteText"/>
        <w:jc w:val="both"/>
        <w:rPr>
          <w:sz w:val="22"/>
          <w:szCs w:val="22"/>
          <w:lang w:val="en-AU"/>
        </w:rPr>
      </w:pPr>
      <w:r w:rsidRPr="00570A96">
        <w:rPr>
          <w:rStyle w:val="FootnoteReference"/>
          <w:sz w:val="22"/>
          <w:szCs w:val="22"/>
        </w:rPr>
        <w:footnoteRef/>
      </w:r>
      <w:r w:rsidRPr="00570A96">
        <w:rPr>
          <w:rFonts w:ascii="Cambria" w:eastAsia="MS Mincho" w:hAnsi="Cambria" w:cs="Times New Roman"/>
          <w:sz w:val="22"/>
          <w:szCs w:val="22"/>
        </w:rPr>
        <w:t xml:space="preserve"> EIM (n 19); Patricia Thornton and Neil Lunt, </w:t>
      </w:r>
      <w:r w:rsidRPr="00B63E94">
        <w:rPr>
          <w:rFonts w:ascii="Cambria" w:eastAsia="MS Mincho" w:hAnsi="Cambria" w:cs="Times New Roman"/>
          <w:i/>
          <w:sz w:val="22"/>
          <w:szCs w:val="22"/>
        </w:rPr>
        <w:t>Employment Policies for Disabled People in Eighteen Countries: A Review</w:t>
      </w:r>
      <w:r w:rsidRPr="00570A96">
        <w:rPr>
          <w:rFonts w:ascii="Cambria" w:eastAsia="MS Mincho" w:hAnsi="Cambria" w:cs="Times New Roman"/>
          <w:sz w:val="22"/>
          <w:szCs w:val="22"/>
        </w:rPr>
        <w:t xml:space="preserve"> (University of York Research Unit</w:t>
      </w:r>
      <w:r>
        <w:rPr>
          <w:rFonts w:ascii="Cambria" w:eastAsia="MS Mincho" w:hAnsi="Cambria" w:cs="Times New Roman"/>
          <w:sz w:val="22"/>
          <w:szCs w:val="22"/>
        </w:rPr>
        <w:t xml:space="preserve"> </w:t>
      </w:r>
      <w:r w:rsidRPr="00570A96">
        <w:rPr>
          <w:rFonts w:ascii="Cambria" w:eastAsia="MS Mincho" w:hAnsi="Cambria" w:cs="Times New Roman"/>
          <w:sz w:val="22"/>
          <w:szCs w:val="22"/>
        </w:rPr>
        <w:t>1997)</w:t>
      </w:r>
      <w:r w:rsidRPr="00570A96">
        <w:rPr>
          <w:sz w:val="22"/>
          <w:szCs w:val="22"/>
        </w:rPr>
        <w:t xml:space="preserve">; </w:t>
      </w:r>
      <w:r w:rsidRPr="00570A96">
        <w:rPr>
          <w:rFonts w:ascii="Cambria" w:eastAsia="MS Mincho" w:hAnsi="Cambria" w:cs="Times New Roman"/>
          <w:sz w:val="22"/>
          <w:szCs w:val="22"/>
        </w:rPr>
        <w:t>Greve (n 19); Chon-Kyun Kim, ‘Comparative Perspectives on Disability and Employment Policy’ (2010) 15 International Review of Public Administration 27</w:t>
      </w:r>
      <w:r>
        <w:rPr>
          <w:rFonts w:ascii="Cambria" w:eastAsia="MS Mincho" w:hAnsi="Cambria" w:cs="Times New Roman"/>
          <w:sz w:val="22"/>
          <w:szCs w:val="22"/>
        </w:rPr>
        <w:t>.</w:t>
      </w:r>
    </w:p>
  </w:footnote>
  <w:footnote w:id="23">
    <w:p w14:paraId="3C1FD4F0" w14:textId="562C3FB1" w:rsidR="00A567A4" w:rsidRPr="00570A96" w:rsidRDefault="00A567A4" w:rsidP="00B63E94">
      <w:pPr>
        <w:pStyle w:val="FootnoteText"/>
        <w:jc w:val="both"/>
        <w:rPr>
          <w:sz w:val="22"/>
          <w:szCs w:val="22"/>
        </w:rPr>
      </w:pPr>
      <w:r w:rsidRPr="00903E9B">
        <w:rPr>
          <w:rStyle w:val="FootnoteReference"/>
          <w:sz w:val="22"/>
          <w:szCs w:val="22"/>
        </w:rPr>
        <w:footnoteRef/>
      </w:r>
      <w:r w:rsidRPr="00903E9B">
        <w:rPr>
          <w:sz w:val="22"/>
          <w:szCs w:val="22"/>
        </w:rPr>
        <w:t xml:space="preserve"> </w:t>
      </w:r>
      <w:r w:rsidR="00F84994">
        <w:rPr>
          <w:sz w:val="22"/>
          <w:szCs w:val="22"/>
        </w:rPr>
        <w:t xml:space="preserve">Gerard </w:t>
      </w:r>
      <w:r w:rsidR="00F84994" w:rsidRPr="00F84994">
        <w:rPr>
          <w:sz w:val="22"/>
          <w:szCs w:val="22"/>
        </w:rPr>
        <w:t>Quinn</w:t>
      </w:r>
      <w:r w:rsidR="00F84994">
        <w:rPr>
          <w:sz w:val="22"/>
          <w:szCs w:val="22"/>
        </w:rPr>
        <w:t xml:space="preserve"> and Elionoir F</w:t>
      </w:r>
      <w:r w:rsidR="00F84994" w:rsidRPr="00F84994">
        <w:rPr>
          <w:sz w:val="22"/>
          <w:szCs w:val="22"/>
        </w:rPr>
        <w:t>lynn</w:t>
      </w:r>
      <w:r w:rsidR="00F84994">
        <w:rPr>
          <w:sz w:val="22"/>
          <w:szCs w:val="22"/>
        </w:rPr>
        <w:t xml:space="preserve"> ‘</w:t>
      </w:r>
      <w:r w:rsidR="00F84994" w:rsidRPr="00F84994">
        <w:rPr>
          <w:sz w:val="22"/>
          <w:szCs w:val="22"/>
        </w:rPr>
        <w:t>Transatlantic Borrowings: The Past and Future of EU Non-Discrimination Law and Policy on the Ground of Disability</w:t>
      </w:r>
      <w:r w:rsidR="00F84994">
        <w:rPr>
          <w:sz w:val="22"/>
          <w:szCs w:val="22"/>
        </w:rPr>
        <w:t xml:space="preserve">’ </w:t>
      </w:r>
      <w:r w:rsidR="00F84994" w:rsidRPr="00F84994">
        <w:rPr>
          <w:sz w:val="22"/>
          <w:szCs w:val="22"/>
        </w:rPr>
        <w:t>(2012) 60</w:t>
      </w:r>
      <w:r w:rsidR="00F84994">
        <w:rPr>
          <w:sz w:val="22"/>
          <w:szCs w:val="22"/>
        </w:rPr>
        <w:t xml:space="preserve"> </w:t>
      </w:r>
      <w:r w:rsidR="00F84994" w:rsidRPr="00F84994">
        <w:rPr>
          <w:sz w:val="22"/>
          <w:szCs w:val="22"/>
        </w:rPr>
        <w:t>American Journal of Comparative Law 23.</w:t>
      </w:r>
    </w:p>
  </w:footnote>
  <w:footnote w:id="24">
    <w:p w14:paraId="2C38CEBC" w14:textId="28C04122"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David Etherington and Jo Ingold, ‘Welfare to Work and the Inclusive Labour Market: A Comparative </w:t>
      </w:r>
      <w:r w:rsidR="005F3CF7">
        <w:rPr>
          <w:sz w:val="22"/>
          <w:szCs w:val="22"/>
        </w:rPr>
        <w:t>St</w:t>
      </w:r>
      <w:r w:rsidRPr="00570A96">
        <w:rPr>
          <w:sz w:val="22"/>
          <w:szCs w:val="22"/>
        </w:rPr>
        <w:t>udy of Activation Policies for Disability and Long Term Sickness Benefit Claimants in the UK and Denmark’ (2012) 22 Journal of European Social Policy 30; Sarah Parker Harris, Randall Owen and Robert Gould, ‘Parity of Participation in Liberal Welfare States: Human Rights, Neoliberalism, Disability and Employment</w:t>
      </w:r>
      <w:r w:rsidR="00F84994">
        <w:rPr>
          <w:sz w:val="22"/>
          <w:szCs w:val="22"/>
        </w:rPr>
        <w:t>’</w:t>
      </w:r>
      <w:r w:rsidRPr="00570A96">
        <w:rPr>
          <w:sz w:val="22"/>
          <w:szCs w:val="22"/>
        </w:rPr>
        <w:t xml:space="preserve"> (2012) 27 Disability and Society 823; Chris Grover, ‘Disability, Benefits and Welfare Reform and Employment Policy’ (2014)</w:t>
      </w:r>
      <w:r>
        <w:rPr>
          <w:sz w:val="22"/>
          <w:szCs w:val="22"/>
        </w:rPr>
        <w:t xml:space="preserve"> </w:t>
      </w:r>
      <w:r w:rsidRPr="00570A96">
        <w:rPr>
          <w:sz w:val="22"/>
          <w:szCs w:val="22"/>
        </w:rPr>
        <w:t>29 Disability and Society 1168.</w:t>
      </w:r>
    </w:p>
  </w:footnote>
  <w:footnote w:id="25">
    <w:p w14:paraId="1A5FCA15" w14:textId="55DEE48B"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Rory Ridley-Duff and Mike Bull, </w:t>
      </w:r>
      <w:r w:rsidRPr="00570A96">
        <w:rPr>
          <w:i/>
          <w:sz w:val="22"/>
          <w:szCs w:val="22"/>
        </w:rPr>
        <w:t>Understanding Social Enterprise: Theory and Practice</w:t>
      </w:r>
      <w:r w:rsidRPr="00570A96">
        <w:rPr>
          <w:sz w:val="22"/>
          <w:szCs w:val="22"/>
        </w:rPr>
        <w:t xml:space="preserve"> (Sage Publishing 2011); Simon Teasdale, </w:t>
      </w:r>
      <w:r w:rsidRPr="00B63E94">
        <w:rPr>
          <w:i/>
          <w:sz w:val="22"/>
          <w:szCs w:val="22"/>
        </w:rPr>
        <w:t xml:space="preserve">What’s in a Name? Making Sense of Social Enterprise Discourses </w:t>
      </w:r>
      <w:r w:rsidRPr="00570A96">
        <w:rPr>
          <w:sz w:val="22"/>
          <w:szCs w:val="22"/>
        </w:rPr>
        <w:t>(Sage Publishing 2011).</w:t>
      </w:r>
    </w:p>
  </w:footnote>
  <w:footnote w:id="26">
    <w:p w14:paraId="67D83B8D" w14:textId="3EEAB9E3"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Sarah Parker Harris, Maija Renko and Kate Caldwell, ‘Social Entrepeneurship as an Empl</w:t>
      </w:r>
      <w:r>
        <w:rPr>
          <w:sz w:val="22"/>
          <w:szCs w:val="22"/>
        </w:rPr>
        <w:t>o</w:t>
      </w:r>
      <w:r w:rsidRPr="00570A96">
        <w:rPr>
          <w:sz w:val="22"/>
          <w:szCs w:val="22"/>
        </w:rPr>
        <w:t>yment Pathway for People with Disabilities: Exploring Political-Economic and Socio-Cultural Factors (2014) 29 Disability and Society 1275.</w:t>
      </w:r>
    </w:p>
  </w:footnote>
  <w:footnote w:id="27">
    <w:p w14:paraId="6D718BB4" w14:textId="62F2840F" w:rsidR="00A567A4" w:rsidRPr="00570A96" w:rsidRDefault="00A567A4" w:rsidP="00B63E94">
      <w:pPr>
        <w:pStyle w:val="FootnoteText"/>
        <w:jc w:val="both"/>
        <w:rPr>
          <w:sz w:val="22"/>
          <w:szCs w:val="22"/>
          <w:lang w:val="en-AU"/>
        </w:rPr>
      </w:pPr>
      <w:r w:rsidRPr="00570A96">
        <w:rPr>
          <w:rStyle w:val="FootnoteReference"/>
          <w:sz w:val="22"/>
          <w:szCs w:val="22"/>
        </w:rPr>
        <w:footnoteRef/>
      </w:r>
      <w:r w:rsidRPr="00570A96">
        <w:rPr>
          <w:sz w:val="22"/>
          <w:szCs w:val="22"/>
        </w:rPr>
        <w:t xml:space="preserve"> Richard </w:t>
      </w:r>
      <w:r w:rsidRPr="00570A96">
        <w:rPr>
          <w:rFonts w:asciiTheme="majorBidi" w:eastAsia="Times New Roman" w:hAnsiTheme="majorBidi" w:cstheme="majorBidi"/>
          <w:sz w:val="22"/>
          <w:szCs w:val="22"/>
          <w:lang w:val="en-GB"/>
        </w:rPr>
        <w:t xml:space="preserve">Walls, Denetta Dowler, Kimberly Cordingly, Louis Orslene, &amp; John Greer, ‘Microenterprising and People with Disabilities: Strategies for Success and Failure’ (2001) 67 </w:t>
      </w:r>
      <w:proofErr w:type="gramStart"/>
      <w:r w:rsidRPr="00B63E94">
        <w:rPr>
          <w:rFonts w:asciiTheme="majorBidi" w:eastAsia="Times New Roman" w:hAnsiTheme="majorBidi" w:cstheme="majorBidi"/>
          <w:iCs/>
          <w:sz w:val="22"/>
          <w:szCs w:val="22"/>
          <w:lang w:val="en-GB"/>
        </w:rPr>
        <w:t>The</w:t>
      </w:r>
      <w:proofErr w:type="gramEnd"/>
      <w:r w:rsidRPr="00B63E94">
        <w:rPr>
          <w:rFonts w:asciiTheme="majorBidi" w:eastAsia="Times New Roman" w:hAnsiTheme="majorBidi" w:cstheme="majorBidi"/>
          <w:iCs/>
          <w:sz w:val="22"/>
          <w:szCs w:val="22"/>
          <w:lang w:val="en-GB"/>
        </w:rPr>
        <w:t xml:space="preserve"> Journal of Rehabilitation</w:t>
      </w:r>
      <w:r w:rsidRPr="00570A96">
        <w:rPr>
          <w:rFonts w:asciiTheme="majorBidi" w:eastAsia="Times New Roman" w:hAnsiTheme="majorBidi" w:cstheme="majorBidi"/>
          <w:sz w:val="22"/>
          <w:szCs w:val="22"/>
          <w:lang w:val="en-GB"/>
        </w:rPr>
        <w:t xml:space="preserve"> 29.</w:t>
      </w:r>
    </w:p>
  </w:footnote>
  <w:footnote w:id="28">
    <w:p w14:paraId="38095F6B" w14:textId="0CC10BF1"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w:t>
      </w:r>
      <w:proofErr w:type="gramStart"/>
      <w:r w:rsidRPr="00570A96">
        <w:rPr>
          <w:sz w:val="22"/>
          <w:szCs w:val="22"/>
        </w:rPr>
        <w:t>Convention of the Rights of Persons with Disabilities 2007, Article 6(c).</w:t>
      </w:r>
      <w:proofErr w:type="gramEnd"/>
      <w:r w:rsidRPr="00570A96">
        <w:rPr>
          <w:sz w:val="22"/>
          <w:szCs w:val="22"/>
        </w:rPr>
        <w:t xml:space="preserve"> </w:t>
      </w:r>
    </w:p>
  </w:footnote>
  <w:footnote w:id="29">
    <w:p w14:paraId="5A9E5C6B" w14:textId="64F3E3E1"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w:t>
      </w:r>
      <w:r w:rsidRPr="00B63E94">
        <w:rPr>
          <w:i/>
          <w:sz w:val="22"/>
          <w:szCs w:val="22"/>
        </w:rPr>
        <w:t>I</w:t>
      </w:r>
      <w:r w:rsidRPr="00570A96">
        <w:rPr>
          <w:i/>
          <w:sz w:val="22"/>
          <w:szCs w:val="22"/>
        </w:rPr>
        <w:t>bi</w:t>
      </w:r>
      <w:r w:rsidRPr="00B63E94">
        <w:rPr>
          <w:i/>
          <w:sz w:val="22"/>
          <w:szCs w:val="22"/>
        </w:rPr>
        <w:t xml:space="preserve">d. </w:t>
      </w:r>
      <w:r w:rsidRPr="00570A96">
        <w:rPr>
          <w:sz w:val="22"/>
          <w:szCs w:val="22"/>
        </w:rPr>
        <w:t>article 29.</w:t>
      </w:r>
    </w:p>
  </w:footnote>
  <w:footnote w:id="30">
    <w:p w14:paraId="084C58D4" w14:textId="7B7A2BF1"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w:t>
      </w:r>
      <w:r w:rsidRPr="00B63E94">
        <w:rPr>
          <w:i/>
          <w:sz w:val="22"/>
          <w:szCs w:val="22"/>
        </w:rPr>
        <w:t>Ibid</w:t>
      </w:r>
      <w:r w:rsidRPr="00570A96">
        <w:rPr>
          <w:sz w:val="22"/>
          <w:szCs w:val="22"/>
        </w:rPr>
        <w:t>, article 32(1).</w:t>
      </w:r>
    </w:p>
  </w:footnote>
  <w:footnote w:id="31">
    <w:p w14:paraId="73F87C54" w14:textId="18F4AA66"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w:t>
      </w:r>
      <w:r w:rsidRPr="00570A96">
        <w:rPr>
          <w:i/>
          <w:sz w:val="22"/>
          <w:szCs w:val="22"/>
        </w:rPr>
        <w:t>Ibid,</w:t>
      </w:r>
      <w:r w:rsidRPr="00570A96">
        <w:rPr>
          <w:sz w:val="22"/>
          <w:szCs w:val="22"/>
        </w:rPr>
        <w:t xml:space="preserve"> article 33.</w:t>
      </w:r>
    </w:p>
  </w:footnote>
  <w:footnote w:id="32">
    <w:p w14:paraId="1EC68F04" w14:textId="7D39C977" w:rsidR="00A567A4" w:rsidRPr="00570A96" w:rsidRDefault="00A567A4" w:rsidP="00B63E94">
      <w:pPr>
        <w:pStyle w:val="FootnoteText"/>
        <w:jc w:val="both"/>
        <w:rPr>
          <w:sz w:val="22"/>
          <w:szCs w:val="22"/>
        </w:rPr>
      </w:pPr>
      <w:r w:rsidRPr="00570A96">
        <w:rPr>
          <w:rStyle w:val="FootnoteReference"/>
          <w:sz w:val="22"/>
          <w:szCs w:val="22"/>
        </w:rPr>
        <w:footnoteRef/>
      </w:r>
      <w:r w:rsidRPr="00570A96">
        <w:rPr>
          <w:sz w:val="22"/>
          <w:szCs w:val="22"/>
        </w:rPr>
        <w:t xml:space="preserve"> </w:t>
      </w:r>
      <w:r w:rsidRPr="00570A96">
        <w:rPr>
          <w:i/>
          <w:sz w:val="22"/>
          <w:szCs w:val="22"/>
        </w:rPr>
        <w:t>Ibid,</w:t>
      </w:r>
      <w:r w:rsidRPr="00570A96">
        <w:rPr>
          <w:sz w:val="22"/>
          <w:szCs w:val="22"/>
        </w:rPr>
        <w:t xml:space="preserve"> article 35.</w:t>
      </w:r>
    </w:p>
  </w:footnote>
  <w:footnote w:id="33">
    <w:p w14:paraId="42694087" w14:textId="2CF2E633" w:rsidR="00A567A4" w:rsidRPr="00B63E94" w:rsidRDefault="00A567A4" w:rsidP="00B63E94">
      <w:pPr>
        <w:pStyle w:val="FootnoteText"/>
        <w:jc w:val="both"/>
        <w:rPr>
          <w:sz w:val="22"/>
          <w:szCs w:val="22"/>
        </w:rPr>
      </w:pPr>
      <w:r w:rsidRPr="00B63E94">
        <w:rPr>
          <w:rStyle w:val="FootnoteReference"/>
          <w:sz w:val="22"/>
          <w:szCs w:val="22"/>
        </w:rPr>
        <w:footnoteRef/>
      </w:r>
      <w:r w:rsidRPr="00B63E94">
        <w:rPr>
          <w:sz w:val="22"/>
          <w:szCs w:val="22"/>
        </w:rPr>
        <w:t xml:space="preserve"> </w:t>
      </w:r>
      <w:r w:rsidRPr="00570A96">
        <w:rPr>
          <w:i/>
          <w:sz w:val="22"/>
          <w:szCs w:val="22"/>
        </w:rPr>
        <w:t>Ibid,</w:t>
      </w:r>
      <w:r w:rsidRPr="00570A96">
        <w:rPr>
          <w:sz w:val="22"/>
          <w:szCs w:val="22"/>
        </w:rPr>
        <w:t xml:space="preserve"> a</w:t>
      </w:r>
      <w:r w:rsidRPr="00B63E94">
        <w:rPr>
          <w:sz w:val="22"/>
          <w:szCs w:val="22"/>
        </w:rPr>
        <w:t>rticle 31.</w:t>
      </w:r>
    </w:p>
  </w:footnote>
  <w:footnote w:id="34">
    <w:p w14:paraId="5ADD5E19" w14:textId="02616671" w:rsidR="00A567A4" w:rsidRPr="00092C37" w:rsidRDefault="00A567A4" w:rsidP="00664BF4">
      <w:pPr>
        <w:tabs>
          <w:tab w:val="left" w:pos="-720"/>
        </w:tabs>
        <w:suppressAutoHyphens/>
        <w:spacing w:line="240" w:lineRule="auto"/>
        <w:jc w:val="both"/>
        <w:rPr>
          <w:rFonts w:ascii="Times New Roman" w:eastAsiaTheme="minorHAnsi" w:hAnsi="Times New Roman"/>
          <w:lang w:val="en-US" w:eastAsia="en-US"/>
        </w:rPr>
      </w:pPr>
      <w:r w:rsidRPr="00570A96">
        <w:rPr>
          <w:rStyle w:val="FootnoteReference"/>
        </w:rPr>
        <w:footnoteRef/>
      </w:r>
      <w:r w:rsidRPr="00570A96">
        <w:t xml:space="preserve"> </w:t>
      </w:r>
      <w:r w:rsidRPr="00092C37">
        <w:rPr>
          <w:rFonts w:ascii="Times New Roman" w:eastAsiaTheme="minorHAnsi" w:hAnsi="Times New Roman"/>
          <w:lang w:val="en-US" w:eastAsia="en-US"/>
        </w:rPr>
        <w:t>For critical reflections on the functioning of quota systems see Lisa Waddington, ‘Legislating to Employ People with Disabilities: The European and American Way’ (1994) 1 Maastricht Journal of European and Comparative Law 367; and see also Lisa Waddington, ‘Reassessing the Employment of People with Disabilities in Europe: from Quotas to Anti-Discrimination Laws’ (1996) 18 Comparative Labor Law Journal 62.</w:t>
      </w:r>
    </w:p>
  </w:footnote>
  <w:footnote w:id="35">
    <w:p w14:paraId="796FC3DD" w14:textId="6DA3BA7D" w:rsidR="00A567A4" w:rsidRPr="00570A96" w:rsidRDefault="00A567A4" w:rsidP="00093E09">
      <w:pPr>
        <w:pStyle w:val="FootnoteText"/>
        <w:jc w:val="both"/>
        <w:rPr>
          <w:sz w:val="22"/>
          <w:szCs w:val="22"/>
        </w:rPr>
      </w:pPr>
      <w:r w:rsidRPr="00EF278F">
        <w:rPr>
          <w:rStyle w:val="FootnoteReference"/>
          <w:sz w:val="22"/>
          <w:szCs w:val="22"/>
        </w:rPr>
        <w:footnoteRef/>
      </w:r>
      <w:r w:rsidRPr="00EF278F">
        <w:rPr>
          <w:sz w:val="22"/>
          <w:szCs w:val="22"/>
        </w:rPr>
        <w:t xml:space="preserve"> Preamble </w:t>
      </w:r>
      <w:r w:rsidRPr="004F10F7">
        <w:rPr>
          <w:iCs/>
          <w:sz w:val="22"/>
          <w:szCs w:val="22"/>
          <w:lang w:val="en-GB"/>
        </w:rPr>
        <w:t>Convention C</w:t>
      </w:r>
      <w:r w:rsidRPr="00B63E94">
        <w:rPr>
          <w:iCs/>
          <w:sz w:val="22"/>
          <w:szCs w:val="22"/>
          <w:lang w:val="en-GB"/>
        </w:rPr>
        <w:t>oncerning Vocational Rehabilitation and Employment (Disabled Persons) 1985</w:t>
      </w:r>
      <w:r w:rsidRPr="00EF278F">
        <w:rPr>
          <w:iCs/>
          <w:sz w:val="22"/>
          <w:szCs w:val="22"/>
          <w:lang w:val="en-GB"/>
        </w:rPr>
        <w:t>.</w:t>
      </w:r>
    </w:p>
  </w:footnote>
  <w:footnote w:id="36">
    <w:p w14:paraId="4FB9ECDF" w14:textId="3D364B84" w:rsidR="00A567A4" w:rsidRPr="00570A96" w:rsidRDefault="00A567A4" w:rsidP="00093E09">
      <w:pPr>
        <w:pStyle w:val="FootnoteText"/>
        <w:jc w:val="both"/>
        <w:rPr>
          <w:sz w:val="22"/>
          <w:szCs w:val="22"/>
        </w:rPr>
      </w:pPr>
      <w:r w:rsidRPr="00570A96">
        <w:rPr>
          <w:rStyle w:val="FootnoteReference"/>
          <w:sz w:val="22"/>
          <w:szCs w:val="22"/>
        </w:rPr>
        <w:footnoteRef/>
      </w:r>
      <w:r w:rsidRPr="00570A96">
        <w:rPr>
          <w:sz w:val="22"/>
          <w:szCs w:val="22"/>
        </w:rPr>
        <w:t xml:space="preserve"> </w:t>
      </w:r>
      <w:r w:rsidRPr="00570A96">
        <w:rPr>
          <w:i/>
          <w:sz w:val="22"/>
          <w:szCs w:val="22"/>
        </w:rPr>
        <w:t>Ibid,</w:t>
      </w:r>
      <w:r w:rsidRPr="00570A96">
        <w:rPr>
          <w:sz w:val="22"/>
          <w:szCs w:val="22"/>
        </w:rPr>
        <w:t xml:space="preserve"> article 3.</w:t>
      </w:r>
    </w:p>
  </w:footnote>
  <w:footnote w:id="37">
    <w:p w14:paraId="2AC0FCF5" w14:textId="66FBEC54" w:rsidR="00A567A4" w:rsidRPr="00570A96" w:rsidRDefault="00A567A4" w:rsidP="00093E09">
      <w:pPr>
        <w:pStyle w:val="FootnoteText"/>
        <w:jc w:val="both"/>
        <w:rPr>
          <w:sz w:val="22"/>
          <w:szCs w:val="22"/>
        </w:rPr>
      </w:pPr>
      <w:r w:rsidRPr="00570A96">
        <w:rPr>
          <w:rStyle w:val="FootnoteReference"/>
          <w:sz w:val="22"/>
          <w:szCs w:val="22"/>
        </w:rPr>
        <w:footnoteRef/>
      </w:r>
      <w:r w:rsidRPr="00570A96">
        <w:rPr>
          <w:sz w:val="22"/>
          <w:szCs w:val="22"/>
        </w:rPr>
        <w:t xml:space="preserve"> </w:t>
      </w:r>
      <w:r w:rsidRPr="00570A96">
        <w:rPr>
          <w:i/>
          <w:sz w:val="22"/>
          <w:szCs w:val="22"/>
        </w:rPr>
        <w:t>Ibid,</w:t>
      </w:r>
      <w:r w:rsidRPr="00570A96">
        <w:rPr>
          <w:sz w:val="22"/>
          <w:szCs w:val="22"/>
        </w:rPr>
        <w:t xml:space="preserve"> </w:t>
      </w:r>
      <w:proofErr w:type="gramStart"/>
      <w:r w:rsidRPr="00570A96">
        <w:rPr>
          <w:sz w:val="22"/>
          <w:szCs w:val="22"/>
        </w:rPr>
        <w:t>article  11</w:t>
      </w:r>
      <w:proofErr w:type="gramEnd"/>
      <w:r w:rsidRPr="00570A96">
        <w:rPr>
          <w:sz w:val="22"/>
          <w:szCs w:val="22"/>
        </w:rPr>
        <w:t xml:space="preserve"> (b).</w:t>
      </w:r>
    </w:p>
  </w:footnote>
  <w:footnote w:id="38">
    <w:p w14:paraId="48B50398" w14:textId="77777777" w:rsidR="00A567A4" w:rsidRPr="00570A96" w:rsidRDefault="00A567A4" w:rsidP="00093E09">
      <w:pPr>
        <w:pStyle w:val="FootnoteText"/>
        <w:jc w:val="both"/>
        <w:rPr>
          <w:sz w:val="22"/>
          <w:szCs w:val="22"/>
        </w:rPr>
      </w:pPr>
      <w:r w:rsidRPr="00570A96">
        <w:rPr>
          <w:rStyle w:val="FootnoteReference"/>
          <w:sz w:val="22"/>
          <w:szCs w:val="22"/>
        </w:rPr>
        <w:footnoteRef/>
      </w:r>
      <w:r w:rsidRPr="00570A96">
        <w:rPr>
          <w:sz w:val="22"/>
          <w:szCs w:val="22"/>
        </w:rPr>
        <w:t xml:space="preserve"> Ibid.</w:t>
      </w:r>
    </w:p>
  </w:footnote>
  <w:footnote w:id="39">
    <w:p w14:paraId="6357A7B9" w14:textId="69A64980" w:rsidR="00A567A4" w:rsidRPr="00570A96" w:rsidRDefault="00A567A4" w:rsidP="00093E09">
      <w:pPr>
        <w:pStyle w:val="FootnoteText"/>
        <w:jc w:val="both"/>
        <w:rPr>
          <w:sz w:val="22"/>
          <w:szCs w:val="22"/>
        </w:rPr>
      </w:pPr>
      <w:r w:rsidRPr="00570A96">
        <w:rPr>
          <w:rStyle w:val="FootnoteReference"/>
          <w:sz w:val="22"/>
          <w:szCs w:val="22"/>
        </w:rPr>
        <w:footnoteRef/>
      </w:r>
      <w:r w:rsidRPr="00570A96">
        <w:rPr>
          <w:sz w:val="22"/>
          <w:szCs w:val="22"/>
        </w:rPr>
        <w:t xml:space="preserve"> </w:t>
      </w:r>
      <w:proofErr w:type="gramStart"/>
      <w:r w:rsidRPr="00570A96">
        <w:rPr>
          <w:i/>
          <w:sz w:val="22"/>
          <w:szCs w:val="22"/>
        </w:rPr>
        <w:t>Ibid,</w:t>
      </w:r>
      <w:r w:rsidRPr="00570A96">
        <w:rPr>
          <w:sz w:val="22"/>
          <w:szCs w:val="22"/>
        </w:rPr>
        <w:t xml:space="preserve"> artcile 11(a).</w:t>
      </w:r>
      <w:proofErr w:type="gramEnd"/>
    </w:p>
  </w:footnote>
  <w:footnote w:id="40">
    <w:p w14:paraId="34CA4551" w14:textId="2B5E9E6D" w:rsidR="00A567A4" w:rsidRPr="00570A96" w:rsidRDefault="00A567A4" w:rsidP="00093E09">
      <w:pPr>
        <w:pStyle w:val="FootnoteText"/>
        <w:jc w:val="both"/>
        <w:rPr>
          <w:sz w:val="22"/>
          <w:szCs w:val="22"/>
          <w:lang w:val="nl-NL"/>
        </w:rPr>
      </w:pPr>
      <w:r w:rsidRPr="00570A96">
        <w:rPr>
          <w:rStyle w:val="FootnoteReference"/>
          <w:sz w:val="22"/>
          <w:szCs w:val="22"/>
        </w:rPr>
        <w:footnoteRef/>
      </w:r>
      <w:r w:rsidRPr="00570A96">
        <w:rPr>
          <w:sz w:val="22"/>
          <w:szCs w:val="22"/>
        </w:rPr>
        <w:t xml:space="preserve"> </w:t>
      </w:r>
      <w:r w:rsidRPr="00570A96">
        <w:rPr>
          <w:i/>
          <w:sz w:val="22"/>
          <w:szCs w:val="22"/>
        </w:rPr>
        <w:t>Ibid,</w:t>
      </w:r>
      <w:r w:rsidRPr="00570A96">
        <w:rPr>
          <w:sz w:val="22"/>
          <w:szCs w:val="22"/>
          <w:lang w:val="nl-NL"/>
        </w:rPr>
        <w:t xml:space="preserve"> article 11(g).</w:t>
      </w:r>
    </w:p>
  </w:footnote>
  <w:footnote w:id="41">
    <w:p w14:paraId="4ED1F77C" w14:textId="67F076CA" w:rsidR="00A567A4" w:rsidRPr="00570A96" w:rsidRDefault="00A567A4" w:rsidP="00093E09">
      <w:pPr>
        <w:pStyle w:val="FootnoteText"/>
        <w:jc w:val="both"/>
        <w:rPr>
          <w:sz w:val="22"/>
          <w:szCs w:val="22"/>
          <w:lang w:val="nl-NL"/>
        </w:rPr>
      </w:pPr>
      <w:r w:rsidRPr="00570A96">
        <w:rPr>
          <w:rStyle w:val="FootnoteReference"/>
          <w:sz w:val="22"/>
          <w:szCs w:val="22"/>
        </w:rPr>
        <w:footnoteRef/>
      </w:r>
      <w:r w:rsidRPr="00570A96">
        <w:rPr>
          <w:sz w:val="22"/>
          <w:szCs w:val="22"/>
        </w:rPr>
        <w:t xml:space="preserve"> </w:t>
      </w:r>
      <w:r w:rsidRPr="00570A96">
        <w:rPr>
          <w:i/>
          <w:sz w:val="22"/>
          <w:szCs w:val="22"/>
        </w:rPr>
        <w:t>Ibid,</w:t>
      </w:r>
      <w:r w:rsidRPr="00570A96">
        <w:rPr>
          <w:sz w:val="22"/>
          <w:szCs w:val="22"/>
          <w:lang w:val="nl-NL"/>
        </w:rPr>
        <w:t xml:space="preserve"> article 15(2).</w:t>
      </w:r>
    </w:p>
  </w:footnote>
  <w:footnote w:id="42">
    <w:p w14:paraId="68103FB0" w14:textId="16E64938" w:rsidR="00A567A4" w:rsidRPr="00570A96" w:rsidRDefault="00A567A4" w:rsidP="00093E09">
      <w:pPr>
        <w:pStyle w:val="FootnoteText"/>
        <w:jc w:val="both"/>
        <w:rPr>
          <w:sz w:val="22"/>
          <w:szCs w:val="22"/>
        </w:rPr>
      </w:pPr>
      <w:r w:rsidRPr="00570A96">
        <w:rPr>
          <w:rStyle w:val="FootnoteReference"/>
          <w:sz w:val="22"/>
          <w:szCs w:val="22"/>
        </w:rPr>
        <w:footnoteRef/>
      </w:r>
      <w:r w:rsidRPr="00570A96">
        <w:rPr>
          <w:sz w:val="22"/>
          <w:szCs w:val="22"/>
        </w:rPr>
        <w:t xml:space="preserve"> </w:t>
      </w:r>
      <w:proofErr w:type="gramStart"/>
      <w:r w:rsidRPr="00570A96">
        <w:rPr>
          <w:sz w:val="22"/>
          <w:szCs w:val="22"/>
        </w:rPr>
        <w:t xml:space="preserve">Anna Bruce, </w:t>
      </w:r>
      <w:r w:rsidRPr="00B63E94">
        <w:rPr>
          <w:i/>
          <w:sz w:val="22"/>
          <w:szCs w:val="22"/>
        </w:rPr>
        <w:t>Which Entitlements and for Whom?</w:t>
      </w:r>
      <w:proofErr w:type="gramEnd"/>
      <w:r w:rsidRPr="00B63E94">
        <w:rPr>
          <w:i/>
          <w:sz w:val="22"/>
          <w:szCs w:val="22"/>
        </w:rPr>
        <w:t xml:space="preserve"> </w:t>
      </w:r>
      <w:proofErr w:type="gramStart"/>
      <w:r w:rsidRPr="00B63E94">
        <w:rPr>
          <w:i/>
          <w:sz w:val="22"/>
          <w:szCs w:val="22"/>
        </w:rPr>
        <w:t>The Convention on the Rights of Persons with Disabilities and its Ideological Antecedents</w:t>
      </w:r>
      <w:r w:rsidRPr="00570A96">
        <w:rPr>
          <w:sz w:val="22"/>
          <w:szCs w:val="22"/>
        </w:rPr>
        <w:t xml:space="preserve"> (Ph.D. Thesis, Lund University 2014) 203.</w:t>
      </w:r>
      <w:proofErr w:type="gramEnd"/>
    </w:p>
  </w:footnote>
  <w:footnote w:id="43">
    <w:p w14:paraId="52683581" w14:textId="0AC5A104" w:rsidR="00A567A4" w:rsidRPr="00570A96" w:rsidRDefault="00A567A4" w:rsidP="00093E09">
      <w:pPr>
        <w:pStyle w:val="FootnoteText"/>
        <w:jc w:val="both"/>
        <w:rPr>
          <w:sz w:val="22"/>
          <w:szCs w:val="22"/>
        </w:rPr>
      </w:pPr>
      <w:r w:rsidRPr="00570A96">
        <w:rPr>
          <w:rStyle w:val="FootnoteReference"/>
          <w:sz w:val="22"/>
          <w:szCs w:val="22"/>
        </w:rPr>
        <w:footnoteRef/>
      </w:r>
      <w:r w:rsidRPr="00570A96">
        <w:rPr>
          <w:sz w:val="22"/>
          <w:szCs w:val="22"/>
        </w:rPr>
        <w:t xml:space="preserve"> </w:t>
      </w:r>
      <w:proofErr w:type="gramStart"/>
      <w:r w:rsidRPr="00570A96">
        <w:rPr>
          <w:i/>
          <w:sz w:val="22"/>
          <w:szCs w:val="22"/>
        </w:rPr>
        <w:t>Ibid</w:t>
      </w:r>
      <w:r w:rsidRPr="00B63E94">
        <w:rPr>
          <w:i/>
          <w:sz w:val="22"/>
          <w:szCs w:val="22"/>
        </w:rPr>
        <w:t xml:space="preserve">  </w:t>
      </w:r>
      <w:r w:rsidRPr="00570A96">
        <w:rPr>
          <w:sz w:val="22"/>
          <w:szCs w:val="22"/>
        </w:rPr>
        <w:t>204</w:t>
      </w:r>
      <w:proofErr w:type="gramEnd"/>
      <w:r w:rsidRPr="00570A96">
        <w:rPr>
          <w:sz w:val="22"/>
          <w:szCs w:val="22"/>
        </w:rPr>
        <w:t>.</w:t>
      </w:r>
    </w:p>
  </w:footnote>
  <w:footnote w:id="44">
    <w:p w14:paraId="02D9654B" w14:textId="5ABEBA0B" w:rsidR="00A567A4" w:rsidRPr="00570A96" w:rsidRDefault="00A567A4" w:rsidP="00093E09">
      <w:pPr>
        <w:pStyle w:val="FootnoteText"/>
        <w:jc w:val="both"/>
        <w:rPr>
          <w:sz w:val="22"/>
          <w:szCs w:val="22"/>
        </w:rPr>
      </w:pPr>
      <w:r w:rsidRPr="00570A96">
        <w:rPr>
          <w:rStyle w:val="FootnoteReference"/>
          <w:sz w:val="22"/>
          <w:szCs w:val="22"/>
        </w:rPr>
        <w:footnoteRef/>
      </w:r>
      <w:r w:rsidRPr="00570A96">
        <w:rPr>
          <w:sz w:val="22"/>
          <w:szCs w:val="22"/>
        </w:rPr>
        <w:t xml:space="preserve"> </w:t>
      </w:r>
      <w:proofErr w:type="gramStart"/>
      <w:r w:rsidRPr="00570A96">
        <w:rPr>
          <w:i/>
          <w:sz w:val="22"/>
          <w:szCs w:val="22"/>
        </w:rPr>
        <w:t>Ibid</w:t>
      </w:r>
      <w:r w:rsidRPr="00570A96" w:rsidDel="00782715">
        <w:rPr>
          <w:sz w:val="22"/>
          <w:szCs w:val="22"/>
        </w:rPr>
        <w:t xml:space="preserve"> </w:t>
      </w:r>
      <w:r w:rsidRPr="00570A96">
        <w:rPr>
          <w:sz w:val="22"/>
          <w:szCs w:val="22"/>
        </w:rPr>
        <w:t>204.</w:t>
      </w:r>
      <w:proofErr w:type="gramEnd"/>
    </w:p>
  </w:footnote>
  <w:footnote w:id="45">
    <w:p w14:paraId="690F9009" w14:textId="61F41C8C" w:rsidR="00A567A4" w:rsidRPr="00570A96" w:rsidRDefault="00A567A4" w:rsidP="00093E09">
      <w:pPr>
        <w:pStyle w:val="FootnoteText"/>
        <w:jc w:val="both"/>
        <w:rPr>
          <w:sz w:val="22"/>
          <w:szCs w:val="22"/>
          <w:lang w:val="en-GB"/>
        </w:rPr>
      </w:pPr>
      <w:r w:rsidRPr="00570A96">
        <w:rPr>
          <w:rStyle w:val="FootnoteReference"/>
          <w:sz w:val="22"/>
          <w:szCs w:val="22"/>
        </w:rPr>
        <w:footnoteRef/>
      </w:r>
      <w:r w:rsidRPr="00570A96">
        <w:rPr>
          <w:sz w:val="22"/>
          <w:szCs w:val="22"/>
        </w:rPr>
        <w:t xml:space="preserve"> John </w:t>
      </w:r>
      <w:r w:rsidRPr="00570A96">
        <w:rPr>
          <w:sz w:val="22"/>
          <w:szCs w:val="22"/>
          <w:lang w:val="en-GB"/>
        </w:rPr>
        <w:t xml:space="preserve">Martin &amp; David Grubb, ‘What Works and for </w:t>
      </w:r>
      <w:proofErr w:type="gramStart"/>
      <w:r w:rsidRPr="00570A96">
        <w:rPr>
          <w:sz w:val="22"/>
          <w:szCs w:val="22"/>
          <w:lang w:val="en-GB"/>
        </w:rPr>
        <w:t>Whom</w:t>
      </w:r>
      <w:proofErr w:type="gramEnd"/>
      <w:r w:rsidRPr="00570A96">
        <w:rPr>
          <w:sz w:val="22"/>
          <w:szCs w:val="22"/>
          <w:lang w:val="en-GB"/>
        </w:rPr>
        <w:t xml:space="preserve">: A Review of OECD Countries' experiences with active labour market policies’ (2001) 8 </w:t>
      </w:r>
      <w:r w:rsidRPr="00B63E94">
        <w:rPr>
          <w:iCs/>
          <w:sz w:val="22"/>
          <w:szCs w:val="22"/>
          <w:lang w:val="en-GB"/>
        </w:rPr>
        <w:t>Swedish Economic Policy Review</w:t>
      </w:r>
      <w:r w:rsidRPr="00570A96">
        <w:rPr>
          <w:sz w:val="22"/>
          <w:szCs w:val="22"/>
          <w:lang w:val="en-GB"/>
        </w:rPr>
        <w:t xml:space="preserve"> 9.</w:t>
      </w:r>
    </w:p>
  </w:footnote>
  <w:footnote w:id="46">
    <w:p w14:paraId="1515A668" w14:textId="6CF81DEB"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Ruth </w:t>
      </w:r>
      <w:r w:rsidRPr="00570A96">
        <w:rPr>
          <w:rFonts w:asciiTheme="majorBidi" w:eastAsia="Times New Roman" w:hAnsiTheme="majorBidi" w:cstheme="majorBidi"/>
          <w:sz w:val="22"/>
          <w:szCs w:val="22"/>
          <w:lang w:val="en-GB"/>
        </w:rPr>
        <w:t xml:space="preserve">O'Brien, </w:t>
      </w:r>
      <w:r w:rsidRPr="00570A96">
        <w:rPr>
          <w:rFonts w:asciiTheme="majorBidi" w:eastAsia="Times New Roman" w:hAnsiTheme="majorBidi" w:cstheme="majorBidi"/>
          <w:i/>
          <w:iCs/>
          <w:sz w:val="22"/>
          <w:szCs w:val="22"/>
          <w:lang w:val="en-GB"/>
        </w:rPr>
        <w:t xml:space="preserve">Crippled Justice; </w:t>
      </w:r>
      <w:proofErr w:type="gramStart"/>
      <w:r w:rsidRPr="00570A96">
        <w:rPr>
          <w:rFonts w:asciiTheme="majorBidi" w:eastAsia="Times New Roman" w:hAnsiTheme="majorBidi" w:cstheme="majorBidi"/>
          <w:i/>
          <w:iCs/>
          <w:sz w:val="22"/>
          <w:szCs w:val="22"/>
          <w:lang w:val="en-GB"/>
        </w:rPr>
        <w:t>The</w:t>
      </w:r>
      <w:proofErr w:type="gramEnd"/>
      <w:r w:rsidRPr="00570A96">
        <w:rPr>
          <w:rFonts w:asciiTheme="majorBidi" w:eastAsia="Times New Roman" w:hAnsiTheme="majorBidi" w:cstheme="majorBidi"/>
          <w:i/>
          <w:iCs/>
          <w:sz w:val="22"/>
          <w:szCs w:val="22"/>
          <w:lang w:val="en-GB"/>
        </w:rPr>
        <w:t xml:space="preserve"> History of Modern Disability Policy in the Workplace</w:t>
      </w:r>
      <w:r w:rsidRPr="00570A96">
        <w:rPr>
          <w:rFonts w:asciiTheme="majorBidi" w:eastAsia="Times New Roman" w:hAnsiTheme="majorBidi" w:cstheme="majorBidi"/>
          <w:sz w:val="22"/>
          <w:szCs w:val="22"/>
          <w:lang w:val="en-GB"/>
        </w:rPr>
        <w:t xml:space="preserve"> (University of Chicago Press 2001).</w:t>
      </w:r>
    </w:p>
  </w:footnote>
  <w:footnote w:id="47">
    <w:p w14:paraId="7A9D94EE" w14:textId="05A0B244"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w:t>
      </w:r>
      <w:proofErr w:type="gramStart"/>
      <w:r w:rsidRPr="00570A96">
        <w:rPr>
          <w:rFonts w:asciiTheme="majorBidi" w:eastAsia="Times New Roman" w:hAnsiTheme="majorBidi" w:cstheme="majorBidi"/>
          <w:sz w:val="22"/>
          <w:szCs w:val="22"/>
        </w:rPr>
        <w:t>Thornton and Lunt (n 22).</w:t>
      </w:r>
      <w:proofErr w:type="gramEnd"/>
    </w:p>
  </w:footnote>
  <w:footnote w:id="48">
    <w:p w14:paraId="0A6774A9" w14:textId="00E391C8" w:rsidR="00A567A4" w:rsidRPr="00570A96" w:rsidRDefault="00A567A4" w:rsidP="00782715">
      <w:pPr>
        <w:pStyle w:val="FootnoteText"/>
        <w:jc w:val="both"/>
        <w:rPr>
          <w:bCs/>
          <w:sz w:val="22"/>
          <w:szCs w:val="22"/>
          <w:lang w:val="en-IE"/>
        </w:rPr>
      </w:pPr>
      <w:r w:rsidRPr="00570A96">
        <w:rPr>
          <w:rStyle w:val="FootnoteReference"/>
          <w:sz w:val="22"/>
          <w:szCs w:val="22"/>
        </w:rPr>
        <w:footnoteRef/>
      </w:r>
      <w:r w:rsidRPr="00570A96">
        <w:rPr>
          <w:sz w:val="22"/>
          <w:szCs w:val="22"/>
        </w:rPr>
        <w:t xml:space="preserve"> </w:t>
      </w:r>
      <w:r w:rsidRPr="00570A96">
        <w:rPr>
          <w:sz w:val="22"/>
          <w:szCs w:val="22"/>
          <w:lang w:val="en-GB"/>
        </w:rPr>
        <w:t xml:space="preserve">Council </w:t>
      </w:r>
      <w:r w:rsidRPr="00B63E94">
        <w:rPr>
          <w:bCs/>
          <w:sz w:val="22"/>
          <w:szCs w:val="22"/>
          <w:lang w:val="en-GB"/>
        </w:rPr>
        <w:t>Directive 2000/78</w:t>
      </w:r>
      <w:r w:rsidRPr="00570A96">
        <w:rPr>
          <w:sz w:val="22"/>
          <w:szCs w:val="22"/>
          <w:lang w:val="en-GB"/>
        </w:rPr>
        <w:t>/</w:t>
      </w:r>
      <w:r w:rsidRPr="00B63E94">
        <w:rPr>
          <w:bCs/>
          <w:sz w:val="22"/>
          <w:szCs w:val="22"/>
          <w:lang w:val="en-GB"/>
        </w:rPr>
        <w:t>EC</w:t>
      </w:r>
      <w:r w:rsidRPr="00570A96">
        <w:rPr>
          <w:bCs/>
          <w:sz w:val="22"/>
          <w:szCs w:val="22"/>
          <w:lang w:val="en-GB"/>
        </w:rPr>
        <w:t xml:space="preserve"> </w:t>
      </w:r>
      <w:r w:rsidRPr="00570A96">
        <w:rPr>
          <w:bCs/>
          <w:sz w:val="22"/>
          <w:szCs w:val="22"/>
          <w:lang w:val="en-IE"/>
        </w:rPr>
        <w:t xml:space="preserve">of 27 November 2000 Establishing a General Framework for Equal Treatment in Employment and Occupation [2002] </w:t>
      </w:r>
      <w:r w:rsidRPr="00B63E94">
        <w:rPr>
          <w:bCs/>
          <w:sz w:val="22"/>
          <w:szCs w:val="22"/>
          <w:lang w:val="en-GB"/>
        </w:rPr>
        <w:t>O.J.</w:t>
      </w:r>
      <w:r w:rsidRPr="00570A96">
        <w:rPr>
          <w:bCs/>
          <w:sz w:val="22"/>
          <w:szCs w:val="22"/>
          <w:lang w:val="en-GB"/>
        </w:rPr>
        <w:t xml:space="preserve"> L 303/ 16. 8</w:t>
      </w:r>
      <w:r w:rsidRPr="00570A96">
        <w:rPr>
          <w:sz w:val="22"/>
          <w:szCs w:val="22"/>
          <w:lang w:val="en-AU"/>
        </w:rPr>
        <w:t>.</w:t>
      </w:r>
    </w:p>
  </w:footnote>
  <w:footnote w:id="49">
    <w:p w14:paraId="3DF33729" w14:textId="355C462D"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David </w:t>
      </w:r>
      <w:r w:rsidRPr="00570A96">
        <w:rPr>
          <w:rFonts w:asciiTheme="majorBidi" w:eastAsia="Times New Roman" w:hAnsiTheme="majorBidi" w:cstheme="majorBidi"/>
          <w:sz w:val="22"/>
          <w:szCs w:val="22"/>
          <w:lang w:val="en-GB"/>
        </w:rPr>
        <w:t xml:space="preserve">Goss, Fiona Goss &amp; Derek Adam-Smith, ‘Disability and employment: A Comparative Critique of UK Legislation’ (2000) 11 </w:t>
      </w:r>
      <w:r w:rsidRPr="00B63E94">
        <w:rPr>
          <w:rFonts w:asciiTheme="majorBidi" w:eastAsia="Times New Roman" w:hAnsiTheme="majorBidi" w:cstheme="majorBidi"/>
          <w:iCs/>
          <w:sz w:val="22"/>
          <w:szCs w:val="22"/>
          <w:lang w:val="en-GB"/>
        </w:rPr>
        <w:t>International Journal of Human Resource Management</w:t>
      </w:r>
      <w:r w:rsidRPr="00570A96">
        <w:rPr>
          <w:rFonts w:asciiTheme="majorBidi" w:eastAsia="Times New Roman" w:hAnsiTheme="majorBidi" w:cstheme="majorBidi"/>
          <w:i/>
          <w:iCs/>
          <w:sz w:val="22"/>
          <w:szCs w:val="22"/>
          <w:lang w:val="en-GB"/>
        </w:rPr>
        <w:t xml:space="preserve"> </w:t>
      </w:r>
      <w:r w:rsidRPr="00570A96">
        <w:rPr>
          <w:rFonts w:asciiTheme="majorBidi" w:eastAsia="Times New Roman" w:hAnsiTheme="majorBidi" w:cstheme="majorBidi"/>
          <w:sz w:val="22"/>
          <w:szCs w:val="22"/>
          <w:lang w:val="en-GB"/>
        </w:rPr>
        <w:t>807.</w:t>
      </w:r>
    </w:p>
  </w:footnote>
  <w:footnote w:id="50">
    <w:p w14:paraId="3697E97A" w14:textId="656A354F"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Caroline </w:t>
      </w:r>
      <w:r w:rsidRPr="00570A96">
        <w:rPr>
          <w:rFonts w:asciiTheme="majorBidi" w:eastAsia="Times New Roman" w:hAnsiTheme="majorBidi" w:cstheme="majorBidi"/>
          <w:sz w:val="22"/>
          <w:szCs w:val="22"/>
          <w:lang w:val="en-GB"/>
        </w:rPr>
        <w:t xml:space="preserve">Gooding, ‘Employment and Disabled People: Equal Rights or Positive Action’ in Gerry Zarb (eds), </w:t>
      </w:r>
      <w:r w:rsidRPr="00570A96">
        <w:rPr>
          <w:rFonts w:asciiTheme="majorBidi" w:eastAsia="Times New Roman" w:hAnsiTheme="majorBidi" w:cstheme="majorBidi"/>
          <w:i/>
          <w:iCs/>
          <w:sz w:val="22"/>
          <w:szCs w:val="22"/>
          <w:lang w:val="en-GB"/>
        </w:rPr>
        <w:t>Removing Disabling Barriers</w:t>
      </w:r>
      <w:r w:rsidRPr="00570A96">
        <w:rPr>
          <w:rFonts w:asciiTheme="majorBidi" w:eastAsia="Times New Roman" w:hAnsiTheme="majorBidi" w:cstheme="majorBidi"/>
          <w:sz w:val="22"/>
          <w:szCs w:val="22"/>
          <w:lang w:val="en-GB"/>
        </w:rPr>
        <w:t xml:space="preserve"> (Policy Studies Institute 1996) 65.</w:t>
      </w:r>
    </w:p>
  </w:footnote>
  <w:footnote w:id="51">
    <w:p w14:paraId="7CE4AF07" w14:textId="2FFCFFBF"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w:t>
      </w:r>
      <w:r w:rsidRPr="00570A96">
        <w:rPr>
          <w:rFonts w:asciiTheme="majorBidi" w:eastAsia="Times New Roman" w:hAnsiTheme="majorBidi" w:cstheme="majorBidi"/>
          <w:sz w:val="22"/>
          <w:szCs w:val="22"/>
        </w:rPr>
        <w:t xml:space="preserve"> Paul </w:t>
      </w:r>
      <w:r w:rsidRPr="00570A96">
        <w:rPr>
          <w:rFonts w:asciiTheme="majorBidi" w:eastAsia="Times New Roman" w:hAnsiTheme="majorBidi" w:cstheme="majorBidi"/>
          <w:sz w:val="22"/>
          <w:szCs w:val="22"/>
          <w:lang w:val="en-GB"/>
        </w:rPr>
        <w:t xml:space="preserve">Wehman, Grant Revell &amp; John Kregel, ‘Supported employment: a decade of rapid growth and impact’ in Paul Wehman, Grant Revell, John Kregel &amp; Michael West (eds), </w:t>
      </w:r>
      <w:r w:rsidRPr="00570A96">
        <w:rPr>
          <w:rFonts w:asciiTheme="majorBidi" w:eastAsia="Times New Roman" w:hAnsiTheme="majorBidi" w:cstheme="majorBidi"/>
          <w:i/>
          <w:iCs/>
          <w:sz w:val="22"/>
          <w:szCs w:val="22"/>
          <w:lang w:val="en-GB"/>
        </w:rPr>
        <w:t>Supported Employment Research: Expanding Competitive Employment Opportunities for Persons with Significant Disabilities</w:t>
      </w:r>
      <w:r w:rsidRPr="00570A96">
        <w:rPr>
          <w:rFonts w:asciiTheme="majorBidi" w:eastAsia="Times New Roman" w:hAnsiTheme="majorBidi" w:cstheme="majorBidi"/>
          <w:sz w:val="22"/>
          <w:szCs w:val="22"/>
          <w:lang w:val="en-GB"/>
        </w:rPr>
        <w:t xml:space="preserve"> (Virginia: Rehabilita</w:t>
      </w:r>
      <w:r>
        <w:rPr>
          <w:rFonts w:asciiTheme="majorBidi" w:eastAsia="Times New Roman" w:hAnsiTheme="majorBidi" w:cstheme="majorBidi"/>
          <w:sz w:val="22"/>
          <w:szCs w:val="22"/>
          <w:lang w:val="en-GB"/>
        </w:rPr>
        <w:t>tion Research and Training Center</w:t>
      </w:r>
      <w:r w:rsidRPr="00570A96">
        <w:rPr>
          <w:rFonts w:asciiTheme="majorBidi" w:eastAsia="Times New Roman" w:hAnsiTheme="majorBidi" w:cstheme="majorBidi"/>
          <w:sz w:val="22"/>
          <w:szCs w:val="22"/>
          <w:lang w:val="en-GB"/>
        </w:rPr>
        <w:t xml:space="preserve"> on Supported Employment, Virginia Commonwealth University 1997).</w:t>
      </w:r>
    </w:p>
  </w:footnote>
  <w:footnote w:id="52">
    <w:p w14:paraId="6C1BAB35" w14:textId="54F1821D"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w:t>
      </w:r>
      <w:r w:rsidRPr="00570A96">
        <w:rPr>
          <w:rFonts w:asciiTheme="majorBidi" w:eastAsia="Times New Roman" w:hAnsiTheme="majorBidi" w:cstheme="majorBidi"/>
          <w:sz w:val="22"/>
          <w:szCs w:val="22"/>
        </w:rPr>
        <w:t xml:space="preserve">James </w:t>
      </w:r>
      <w:r w:rsidRPr="00570A96">
        <w:rPr>
          <w:rFonts w:asciiTheme="majorBidi" w:eastAsia="Times New Roman" w:hAnsiTheme="majorBidi" w:cstheme="majorBidi"/>
          <w:sz w:val="22"/>
          <w:szCs w:val="22"/>
          <w:lang w:val="en-GB"/>
        </w:rPr>
        <w:t xml:space="preserve">Black &amp; Luanna Meyer, ‘But ... Is It Really Work - Social Validity of Employment Training for Persons with Very Severe Disabilities’ (1992) 96 </w:t>
      </w:r>
      <w:r w:rsidRPr="00B63E94">
        <w:rPr>
          <w:rFonts w:asciiTheme="majorBidi" w:eastAsia="Times New Roman" w:hAnsiTheme="majorBidi" w:cstheme="majorBidi"/>
          <w:iCs/>
          <w:sz w:val="22"/>
          <w:szCs w:val="22"/>
          <w:lang w:val="en-GB"/>
        </w:rPr>
        <w:t>American Journal on Mental Retardation</w:t>
      </w:r>
      <w:r w:rsidRPr="00570A96">
        <w:rPr>
          <w:rFonts w:asciiTheme="majorBidi" w:eastAsia="Times New Roman" w:hAnsiTheme="majorBidi" w:cstheme="majorBidi"/>
          <w:i/>
          <w:iCs/>
          <w:sz w:val="22"/>
          <w:szCs w:val="22"/>
          <w:lang w:val="en-GB"/>
        </w:rPr>
        <w:t xml:space="preserve"> </w:t>
      </w:r>
      <w:r w:rsidRPr="00570A96">
        <w:rPr>
          <w:rFonts w:asciiTheme="majorBidi" w:eastAsia="Times New Roman" w:hAnsiTheme="majorBidi" w:cstheme="majorBidi"/>
          <w:sz w:val="22"/>
          <w:szCs w:val="22"/>
          <w:lang w:val="en-GB"/>
        </w:rPr>
        <w:t xml:space="preserve">463. </w:t>
      </w:r>
    </w:p>
  </w:footnote>
  <w:footnote w:id="53">
    <w:p w14:paraId="7C840045" w14:textId="728F8C7E"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00F84994" w:rsidRPr="00F84994">
        <w:rPr>
          <w:sz w:val="22"/>
          <w:szCs w:val="22"/>
        </w:rPr>
        <w:t>David Test</w:t>
      </w:r>
      <w:r w:rsidR="00F84994">
        <w:rPr>
          <w:sz w:val="22"/>
          <w:szCs w:val="22"/>
        </w:rPr>
        <w:t xml:space="preserve"> ‘</w:t>
      </w:r>
      <w:r w:rsidR="00F84994" w:rsidRPr="00F84994">
        <w:rPr>
          <w:sz w:val="22"/>
          <w:szCs w:val="22"/>
        </w:rPr>
        <w:t>Supported employment and social validity</w:t>
      </w:r>
      <w:r w:rsidR="00F84994">
        <w:rPr>
          <w:sz w:val="22"/>
          <w:szCs w:val="22"/>
        </w:rPr>
        <w:t>’</w:t>
      </w:r>
      <w:r w:rsidR="00F84994" w:rsidRPr="00F84994">
        <w:rPr>
          <w:sz w:val="22"/>
          <w:szCs w:val="22"/>
        </w:rPr>
        <w:t xml:space="preserve"> 19</w:t>
      </w:r>
      <w:r w:rsidR="00F84994">
        <w:rPr>
          <w:sz w:val="22"/>
          <w:szCs w:val="22"/>
        </w:rPr>
        <w:t xml:space="preserve"> </w:t>
      </w:r>
      <w:r w:rsidR="00F84994" w:rsidRPr="00F84994">
        <w:rPr>
          <w:sz w:val="22"/>
          <w:szCs w:val="22"/>
        </w:rPr>
        <w:t>Research and Practice for Persons with Severe Disabilities (1994) 116.</w:t>
      </w:r>
      <w:r w:rsidR="00F84994" w:rsidRPr="00F84994" w:rsidDel="00F84994">
        <w:rPr>
          <w:sz w:val="22"/>
          <w:szCs w:val="22"/>
          <w:highlight w:val="yellow"/>
        </w:rPr>
        <w:t xml:space="preserve"> </w:t>
      </w:r>
    </w:p>
  </w:footnote>
  <w:footnote w:id="54">
    <w:p w14:paraId="6F0B462F" w14:textId="50196751"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Robert </w:t>
      </w:r>
      <w:r w:rsidRPr="00570A96">
        <w:rPr>
          <w:rFonts w:asciiTheme="majorBidi" w:eastAsia="Times New Roman" w:hAnsiTheme="majorBidi" w:cstheme="majorBidi"/>
          <w:sz w:val="22"/>
          <w:szCs w:val="22"/>
          <w:lang w:val="en-GB"/>
        </w:rPr>
        <w:t xml:space="preserve">Cimera, ‘Are Individuals </w:t>
      </w:r>
      <w:proofErr w:type="gramStart"/>
      <w:r w:rsidRPr="00570A96">
        <w:rPr>
          <w:rFonts w:asciiTheme="majorBidi" w:eastAsia="Times New Roman" w:hAnsiTheme="majorBidi" w:cstheme="majorBidi"/>
          <w:sz w:val="22"/>
          <w:szCs w:val="22"/>
          <w:lang w:val="en-GB"/>
        </w:rPr>
        <w:t>With</w:t>
      </w:r>
      <w:proofErr w:type="gramEnd"/>
      <w:r w:rsidRPr="00570A96">
        <w:rPr>
          <w:rFonts w:asciiTheme="majorBidi" w:eastAsia="Times New Roman" w:hAnsiTheme="majorBidi" w:cstheme="majorBidi"/>
          <w:sz w:val="22"/>
          <w:szCs w:val="22"/>
          <w:lang w:val="en-GB"/>
        </w:rPr>
        <w:t xml:space="preserve"> Severe Mental Retardation And Multiple Disabilities Cost Efficient to Serve via Supported Employment Programs?’ </w:t>
      </w:r>
      <w:proofErr w:type="gramStart"/>
      <w:r w:rsidRPr="00570A96">
        <w:rPr>
          <w:rFonts w:asciiTheme="majorBidi" w:eastAsia="Times New Roman" w:hAnsiTheme="majorBidi" w:cstheme="majorBidi"/>
          <w:sz w:val="22"/>
          <w:szCs w:val="22"/>
          <w:lang w:val="en-GB"/>
        </w:rPr>
        <w:t xml:space="preserve">(1998) 36 </w:t>
      </w:r>
      <w:r w:rsidRPr="00B63E94">
        <w:rPr>
          <w:rFonts w:asciiTheme="majorBidi" w:eastAsia="Times New Roman" w:hAnsiTheme="majorBidi" w:cstheme="majorBidi"/>
          <w:iCs/>
          <w:sz w:val="22"/>
          <w:szCs w:val="22"/>
          <w:lang w:val="en-GB"/>
        </w:rPr>
        <w:t>Mental Retardation</w:t>
      </w:r>
      <w:r w:rsidRPr="00570A96">
        <w:rPr>
          <w:rFonts w:asciiTheme="majorBidi" w:eastAsia="Times New Roman" w:hAnsiTheme="majorBidi" w:cstheme="majorBidi"/>
          <w:i/>
          <w:iCs/>
          <w:sz w:val="22"/>
          <w:szCs w:val="22"/>
          <w:lang w:val="en-GB"/>
        </w:rPr>
        <w:t xml:space="preserve"> </w:t>
      </w:r>
      <w:r w:rsidRPr="00570A96">
        <w:rPr>
          <w:rFonts w:asciiTheme="majorBidi" w:eastAsia="Times New Roman" w:hAnsiTheme="majorBidi" w:cstheme="majorBidi"/>
          <w:sz w:val="22"/>
          <w:szCs w:val="22"/>
          <w:lang w:val="en-GB"/>
        </w:rPr>
        <w:t>280.</w:t>
      </w:r>
      <w:proofErr w:type="gramEnd"/>
      <w:r w:rsidRPr="00570A96">
        <w:rPr>
          <w:rFonts w:asciiTheme="majorBidi" w:eastAsia="Times New Roman" w:hAnsiTheme="majorBidi" w:cstheme="majorBidi"/>
          <w:sz w:val="22"/>
          <w:szCs w:val="22"/>
          <w:lang w:val="en-GB"/>
        </w:rPr>
        <w:t xml:space="preserve"> </w:t>
      </w:r>
    </w:p>
  </w:footnote>
  <w:footnote w:id="55">
    <w:p w14:paraId="1E90614D" w14:textId="2EFB68BC"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Lyke </w:t>
      </w:r>
      <w:r w:rsidRPr="00570A96">
        <w:rPr>
          <w:rFonts w:asciiTheme="majorBidi" w:eastAsia="Times New Roman" w:hAnsiTheme="majorBidi" w:cstheme="majorBidi"/>
          <w:sz w:val="22"/>
          <w:szCs w:val="22"/>
          <w:lang w:val="en-GB"/>
        </w:rPr>
        <w:t xml:space="preserve">Thompson, Greg Powers &amp; Bernice Houchard, ‘The Wage Effects of Supported Employment’ (1992) 17 </w:t>
      </w:r>
      <w:r w:rsidRPr="00B63E94">
        <w:rPr>
          <w:rFonts w:asciiTheme="majorBidi" w:eastAsia="Times New Roman" w:hAnsiTheme="majorBidi" w:cstheme="majorBidi"/>
          <w:iCs/>
          <w:sz w:val="22"/>
          <w:szCs w:val="22"/>
          <w:lang w:val="en-GB"/>
        </w:rPr>
        <w:t xml:space="preserve">Journal of the Association for Persons with Severe Handicaps </w:t>
      </w:r>
      <w:r w:rsidRPr="00570A96">
        <w:rPr>
          <w:rFonts w:asciiTheme="majorBidi" w:eastAsia="Times New Roman" w:hAnsiTheme="majorBidi" w:cstheme="majorBidi"/>
          <w:sz w:val="22"/>
          <w:szCs w:val="22"/>
          <w:lang w:val="en-GB"/>
        </w:rPr>
        <w:t xml:space="preserve">87; Ruth Crowther, Max Marshall, Gary Bond &amp; Peter Huxley, ‘Helping People With Severe Mental Illness To Obtain Work: Systematic Review’ (2001) 322 </w:t>
      </w:r>
      <w:r w:rsidRPr="00B63E94">
        <w:rPr>
          <w:rFonts w:asciiTheme="majorBidi" w:eastAsia="Times New Roman" w:hAnsiTheme="majorBidi" w:cstheme="majorBidi"/>
          <w:iCs/>
          <w:sz w:val="22"/>
          <w:szCs w:val="22"/>
          <w:lang w:val="en-GB"/>
        </w:rPr>
        <w:t xml:space="preserve">British Medical Journal </w:t>
      </w:r>
      <w:r w:rsidRPr="00570A96">
        <w:rPr>
          <w:rFonts w:asciiTheme="majorBidi" w:eastAsia="Times New Roman" w:hAnsiTheme="majorBidi" w:cstheme="majorBidi"/>
          <w:sz w:val="22"/>
          <w:szCs w:val="22"/>
          <w:lang w:val="en-GB"/>
        </w:rPr>
        <w:t>204.</w:t>
      </w:r>
    </w:p>
  </w:footnote>
  <w:footnote w:id="56">
    <w:p w14:paraId="23F193ED" w14:textId="7DEDC7C3"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Mark </w:t>
      </w:r>
      <w:r w:rsidRPr="00570A96">
        <w:rPr>
          <w:rFonts w:asciiTheme="majorBidi" w:eastAsia="Times New Roman" w:hAnsiTheme="majorBidi" w:cstheme="majorBidi"/>
          <w:sz w:val="22"/>
          <w:szCs w:val="22"/>
          <w:lang w:val="en-GB"/>
        </w:rPr>
        <w:t xml:space="preserve">Hyde, ‘Sheltered and Supported Employment in </w:t>
      </w:r>
      <w:proofErr w:type="gramStart"/>
      <w:r w:rsidRPr="00570A96">
        <w:rPr>
          <w:rFonts w:asciiTheme="majorBidi" w:eastAsia="Times New Roman" w:hAnsiTheme="majorBidi" w:cstheme="majorBidi"/>
          <w:sz w:val="22"/>
          <w:szCs w:val="22"/>
          <w:lang w:val="en-GB"/>
        </w:rPr>
        <w:t>The</w:t>
      </w:r>
      <w:proofErr w:type="gramEnd"/>
      <w:r w:rsidRPr="00570A96">
        <w:rPr>
          <w:rFonts w:asciiTheme="majorBidi" w:eastAsia="Times New Roman" w:hAnsiTheme="majorBidi" w:cstheme="majorBidi"/>
          <w:sz w:val="22"/>
          <w:szCs w:val="22"/>
          <w:lang w:val="en-GB"/>
        </w:rPr>
        <w:t xml:space="preserve"> 1990s: The Experiences Of Disabled Workers in the UK’ (1998) 13 </w:t>
      </w:r>
      <w:r w:rsidRPr="00B63E94">
        <w:rPr>
          <w:rFonts w:asciiTheme="majorBidi" w:eastAsia="Times New Roman" w:hAnsiTheme="majorBidi" w:cstheme="majorBidi"/>
          <w:iCs/>
          <w:sz w:val="22"/>
          <w:szCs w:val="22"/>
          <w:lang w:val="en-GB"/>
        </w:rPr>
        <w:t>Disability &amp; Society</w:t>
      </w:r>
      <w:r w:rsidRPr="00570A96">
        <w:rPr>
          <w:rFonts w:asciiTheme="majorBidi" w:eastAsia="Times New Roman" w:hAnsiTheme="majorBidi" w:cstheme="majorBidi"/>
          <w:iCs/>
          <w:sz w:val="22"/>
          <w:szCs w:val="22"/>
          <w:lang w:val="en-GB"/>
        </w:rPr>
        <w:t xml:space="preserve"> 199.</w:t>
      </w:r>
    </w:p>
  </w:footnote>
  <w:footnote w:id="57">
    <w:p w14:paraId="05C4B37B" w14:textId="43D1CFFC" w:rsidR="00A567A4" w:rsidRPr="00B63E94" w:rsidRDefault="00A567A4" w:rsidP="00093E09">
      <w:pPr>
        <w:pStyle w:val="FootnoteText"/>
        <w:jc w:val="both"/>
        <w:rPr>
          <w:rFonts w:asciiTheme="majorHAnsi" w:hAnsiTheme="majorHAnsi"/>
          <w:sz w:val="22"/>
          <w:szCs w:val="22"/>
          <w:lang w:val="en-GB"/>
        </w:rPr>
      </w:pPr>
      <w:r w:rsidRPr="00570A96">
        <w:rPr>
          <w:rStyle w:val="FootnoteReference"/>
          <w:sz w:val="22"/>
          <w:szCs w:val="22"/>
        </w:rPr>
        <w:footnoteRef/>
      </w:r>
      <w:r w:rsidRPr="00570A96">
        <w:rPr>
          <w:sz w:val="22"/>
          <w:szCs w:val="22"/>
        </w:rPr>
        <w:t xml:space="preserve"> </w:t>
      </w:r>
      <w:r w:rsidRPr="00570A96">
        <w:rPr>
          <w:rFonts w:asciiTheme="majorHAnsi" w:hAnsiTheme="majorHAnsi"/>
          <w:sz w:val="22"/>
          <w:szCs w:val="22"/>
        </w:rPr>
        <w:t xml:space="preserve"> Jane </w:t>
      </w:r>
      <w:r w:rsidRPr="00570A96">
        <w:rPr>
          <w:rFonts w:asciiTheme="majorHAnsi" w:hAnsiTheme="majorHAnsi"/>
          <w:sz w:val="22"/>
          <w:szCs w:val="22"/>
          <w:lang w:val="en-GB"/>
        </w:rPr>
        <w:t>Hodges-Aeberhard &amp; Carl Raskin (Eds),</w:t>
      </w:r>
      <w:r w:rsidR="00436AC6">
        <w:rPr>
          <w:rFonts w:asciiTheme="majorHAnsi" w:hAnsiTheme="majorHAnsi"/>
          <w:sz w:val="22"/>
          <w:szCs w:val="22"/>
          <w:lang w:val="en-GB"/>
        </w:rPr>
        <w:t xml:space="preserve"> </w:t>
      </w:r>
      <w:r w:rsidRPr="00B63E94">
        <w:rPr>
          <w:rFonts w:asciiTheme="majorHAnsi" w:hAnsiTheme="majorHAnsi"/>
          <w:iCs/>
          <w:sz w:val="22"/>
          <w:szCs w:val="22"/>
          <w:lang w:val="en-GB"/>
        </w:rPr>
        <w:t>Affirmative Action in the Employment of Ethnic Minorities</w:t>
      </w:r>
      <w:r>
        <w:rPr>
          <w:rFonts w:asciiTheme="majorHAnsi" w:hAnsiTheme="majorHAnsi"/>
          <w:iCs/>
          <w:sz w:val="22"/>
          <w:szCs w:val="22"/>
          <w:lang w:val="en-GB"/>
        </w:rPr>
        <w:t xml:space="preserve"> </w:t>
      </w:r>
      <w:r w:rsidRPr="00B63E94">
        <w:rPr>
          <w:rFonts w:asciiTheme="majorHAnsi" w:hAnsiTheme="majorHAnsi"/>
          <w:iCs/>
          <w:sz w:val="22"/>
          <w:szCs w:val="22"/>
          <w:lang w:val="en-GB"/>
        </w:rPr>
        <w:t>and Persons</w:t>
      </w:r>
      <w:r>
        <w:rPr>
          <w:rFonts w:asciiTheme="majorHAnsi" w:hAnsiTheme="majorHAnsi"/>
          <w:iCs/>
          <w:sz w:val="22"/>
          <w:szCs w:val="22"/>
          <w:lang w:val="en-GB"/>
        </w:rPr>
        <w:t xml:space="preserve"> </w:t>
      </w:r>
      <w:r w:rsidRPr="00B63E94">
        <w:rPr>
          <w:rFonts w:asciiTheme="majorHAnsi" w:hAnsiTheme="majorHAnsi"/>
          <w:iCs/>
          <w:sz w:val="22"/>
          <w:szCs w:val="22"/>
          <w:lang w:val="en-GB"/>
        </w:rPr>
        <w:t>with Disabilities</w:t>
      </w:r>
      <w:r w:rsidRPr="00570A96">
        <w:rPr>
          <w:rFonts w:asciiTheme="majorHAnsi" w:hAnsiTheme="majorHAnsi"/>
          <w:sz w:val="22"/>
          <w:szCs w:val="22"/>
          <w:lang w:val="en-GB"/>
        </w:rPr>
        <w:t xml:space="preserve"> (1997 International Labour </w:t>
      </w:r>
      <w:proofErr w:type="gramStart"/>
      <w:r w:rsidRPr="00570A96">
        <w:rPr>
          <w:rFonts w:asciiTheme="majorHAnsi" w:hAnsiTheme="majorHAnsi"/>
          <w:sz w:val="22"/>
          <w:szCs w:val="22"/>
          <w:lang w:val="en-GB"/>
        </w:rPr>
        <w:t>Organization )</w:t>
      </w:r>
      <w:proofErr w:type="gramEnd"/>
      <w:r w:rsidRPr="00570A96">
        <w:rPr>
          <w:rFonts w:asciiTheme="majorHAnsi" w:hAnsiTheme="majorHAnsi"/>
          <w:sz w:val="22"/>
          <w:szCs w:val="22"/>
          <w:lang w:val="en-GB"/>
        </w:rPr>
        <w:t xml:space="preserve"> </w:t>
      </w:r>
      <w:r w:rsidRPr="00570A96">
        <w:rPr>
          <w:rFonts w:asciiTheme="majorHAnsi" w:hAnsiTheme="majorHAnsi"/>
          <w:sz w:val="22"/>
          <w:szCs w:val="22"/>
        </w:rPr>
        <w:t>1.</w:t>
      </w:r>
    </w:p>
  </w:footnote>
  <w:footnote w:id="58">
    <w:p w14:paraId="66263AFE" w14:textId="247714BA" w:rsidR="00A567A4" w:rsidRPr="00570A96" w:rsidRDefault="00A567A4" w:rsidP="00093E09">
      <w:pPr>
        <w:pStyle w:val="FootnoteText"/>
        <w:jc w:val="both"/>
        <w:rPr>
          <w:sz w:val="22"/>
          <w:szCs w:val="22"/>
          <w:lang w:val="en-GB"/>
        </w:rPr>
      </w:pPr>
      <w:r w:rsidRPr="00570A96">
        <w:rPr>
          <w:rStyle w:val="FootnoteReference"/>
          <w:sz w:val="22"/>
          <w:szCs w:val="22"/>
        </w:rPr>
        <w:footnoteRef/>
      </w:r>
      <w:r w:rsidRPr="00570A96">
        <w:rPr>
          <w:sz w:val="22"/>
          <w:szCs w:val="22"/>
        </w:rPr>
        <w:t xml:space="preserve"> Gillian </w:t>
      </w:r>
      <w:r w:rsidRPr="00570A96">
        <w:rPr>
          <w:sz w:val="22"/>
          <w:szCs w:val="22"/>
          <w:lang w:val="en-GB"/>
        </w:rPr>
        <w:t xml:space="preserve">Whitehouse, ‘Legislation and labour market gender inequality: an analysis of OECD countries’ (1992) 6 </w:t>
      </w:r>
      <w:r w:rsidRPr="00B63E94">
        <w:rPr>
          <w:iCs/>
          <w:sz w:val="22"/>
          <w:szCs w:val="22"/>
          <w:lang w:val="en-GB"/>
        </w:rPr>
        <w:t>Work, Employment &amp; Society</w:t>
      </w:r>
      <w:r w:rsidRPr="00570A96">
        <w:rPr>
          <w:sz w:val="22"/>
          <w:szCs w:val="22"/>
          <w:lang w:val="en-GB"/>
        </w:rPr>
        <w:t xml:space="preserve"> 65.</w:t>
      </w:r>
    </w:p>
  </w:footnote>
  <w:footnote w:id="59">
    <w:p w14:paraId="63B1FCC9" w14:textId="762895CC"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Edward </w:t>
      </w:r>
      <w:r w:rsidRPr="00570A96">
        <w:rPr>
          <w:rFonts w:asciiTheme="majorBidi" w:eastAsia="Times New Roman" w:hAnsiTheme="majorBidi" w:cstheme="majorBidi"/>
          <w:sz w:val="22"/>
          <w:szCs w:val="22"/>
          <w:lang w:val="en-GB"/>
        </w:rPr>
        <w:t xml:space="preserve">Yelin, ‘The Employment of People with and without Disabilities in an Age of Insecurity’ (1997) 549 </w:t>
      </w:r>
      <w:r w:rsidRPr="00B63E94">
        <w:rPr>
          <w:rFonts w:asciiTheme="majorBidi" w:eastAsia="Times New Roman" w:hAnsiTheme="majorBidi" w:cstheme="majorBidi"/>
          <w:iCs/>
          <w:sz w:val="22"/>
          <w:szCs w:val="22"/>
          <w:lang w:val="en-GB"/>
        </w:rPr>
        <w:t>Annals of the American Academy of Political and Social Science</w:t>
      </w:r>
      <w:r w:rsidRPr="00570A96">
        <w:rPr>
          <w:rFonts w:asciiTheme="majorBidi" w:eastAsia="Times New Roman" w:hAnsiTheme="majorBidi" w:cstheme="majorBidi"/>
          <w:sz w:val="22"/>
          <w:szCs w:val="22"/>
          <w:lang w:val="en-GB"/>
        </w:rPr>
        <w:t>117</w:t>
      </w:r>
      <w:proofErr w:type="gramStart"/>
      <w:r w:rsidRPr="00570A96">
        <w:rPr>
          <w:rFonts w:asciiTheme="majorBidi" w:eastAsia="Times New Roman" w:hAnsiTheme="majorBidi" w:cstheme="majorBidi"/>
          <w:sz w:val="22"/>
          <w:szCs w:val="22"/>
          <w:lang w:val="en-GB"/>
        </w:rPr>
        <w:t xml:space="preserve">; </w:t>
      </w:r>
      <w:r w:rsidRPr="00570A96">
        <w:rPr>
          <w:rFonts w:asciiTheme="majorBidi" w:eastAsiaTheme="minorEastAsia" w:hAnsiTheme="majorBidi" w:cstheme="majorBidi"/>
          <w:sz w:val="22"/>
          <w:szCs w:val="22"/>
          <w:lang w:val="en-GB" w:eastAsia="zh-CN"/>
        </w:rPr>
        <w:t xml:space="preserve"> Justin</w:t>
      </w:r>
      <w:proofErr w:type="gramEnd"/>
      <w:r w:rsidRPr="00570A96">
        <w:rPr>
          <w:rFonts w:asciiTheme="majorBidi" w:eastAsiaTheme="minorEastAsia" w:hAnsiTheme="majorBidi" w:cstheme="majorBidi"/>
          <w:sz w:val="22"/>
          <w:szCs w:val="22"/>
          <w:lang w:val="en-GB" w:eastAsia="zh-CN"/>
        </w:rPr>
        <w:t xml:space="preserve"> </w:t>
      </w:r>
      <w:r w:rsidRPr="00570A96">
        <w:rPr>
          <w:rFonts w:asciiTheme="majorBidi" w:eastAsia="Times New Roman" w:hAnsiTheme="majorBidi" w:cstheme="majorBidi"/>
          <w:sz w:val="22"/>
          <w:szCs w:val="22"/>
          <w:lang w:val="en-GB"/>
        </w:rPr>
        <w:t xml:space="preserve">Schneider, Ken Simons &amp; Greg Everatt, ‘Impact of the National Minimum Wage on Disabled People’ (2001) 16 </w:t>
      </w:r>
      <w:r w:rsidRPr="00B63E94">
        <w:rPr>
          <w:rFonts w:asciiTheme="majorBidi" w:eastAsia="Times New Roman" w:hAnsiTheme="majorBidi" w:cstheme="majorBidi"/>
          <w:iCs/>
          <w:sz w:val="22"/>
          <w:szCs w:val="22"/>
          <w:lang w:val="en-GB"/>
        </w:rPr>
        <w:t>Disability &amp; Society</w:t>
      </w:r>
      <w:r w:rsidRPr="00570A96">
        <w:rPr>
          <w:rFonts w:asciiTheme="majorBidi" w:eastAsia="Times New Roman" w:hAnsiTheme="majorBidi" w:cstheme="majorBidi"/>
          <w:i/>
          <w:iCs/>
          <w:sz w:val="22"/>
          <w:szCs w:val="22"/>
          <w:lang w:val="en-GB"/>
        </w:rPr>
        <w:t xml:space="preserve"> </w:t>
      </w:r>
      <w:r w:rsidRPr="00570A96">
        <w:rPr>
          <w:rFonts w:asciiTheme="majorBidi" w:eastAsia="Times New Roman" w:hAnsiTheme="majorBidi" w:cstheme="majorBidi"/>
          <w:sz w:val="22"/>
          <w:szCs w:val="22"/>
          <w:lang w:val="en-GB"/>
        </w:rPr>
        <w:t>723.</w:t>
      </w:r>
    </w:p>
  </w:footnote>
  <w:footnote w:id="60">
    <w:p w14:paraId="3E3B950B" w14:textId="5474A3E7"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w:t>
      </w:r>
      <w:r w:rsidRPr="00570A96">
        <w:rPr>
          <w:sz w:val="22"/>
          <w:szCs w:val="22"/>
          <w:lang w:val="en-AU"/>
        </w:rPr>
        <w:t xml:space="preserve">See </w:t>
      </w:r>
      <w:r w:rsidRPr="00570A96">
        <w:rPr>
          <w:rFonts w:asciiTheme="majorBidi" w:eastAsia="Times New Roman" w:hAnsiTheme="majorBidi" w:cstheme="majorBidi"/>
          <w:sz w:val="22"/>
          <w:szCs w:val="22"/>
        </w:rPr>
        <w:t xml:space="preserve">for example Paul </w:t>
      </w:r>
      <w:r w:rsidRPr="00570A96">
        <w:rPr>
          <w:rFonts w:asciiTheme="majorBidi" w:eastAsia="Times New Roman" w:hAnsiTheme="majorBidi" w:cstheme="majorBidi"/>
          <w:sz w:val="22"/>
          <w:szCs w:val="22"/>
          <w:lang w:val="en-GB"/>
        </w:rPr>
        <w:t xml:space="preserve">Grossman, ‘Employment Discrimination Law for the Learning-Disabled Community’ (1992) 15 </w:t>
      </w:r>
      <w:r w:rsidRPr="00B63E94">
        <w:rPr>
          <w:rFonts w:asciiTheme="majorBidi" w:eastAsia="Times New Roman" w:hAnsiTheme="majorBidi" w:cstheme="majorBidi"/>
          <w:iCs/>
          <w:sz w:val="22"/>
          <w:szCs w:val="22"/>
          <w:lang w:val="en-GB"/>
        </w:rPr>
        <w:t>Learning Disability Quarterly</w:t>
      </w:r>
      <w:r w:rsidRPr="00570A96">
        <w:rPr>
          <w:rFonts w:asciiTheme="majorBidi" w:eastAsia="Times New Roman" w:hAnsiTheme="majorBidi" w:cstheme="majorBidi"/>
          <w:i/>
          <w:iCs/>
          <w:sz w:val="22"/>
          <w:szCs w:val="22"/>
          <w:lang w:val="en-GB"/>
        </w:rPr>
        <w:t xml:space="preserve"> </w:t>
      </w:r>
      <w:r w:rsidRPr="00570A96">
        <w:rPr>
          <w:rFonts w:asciiTheme="majorBidi" w:eastAsia="Times New Roman" w:hAnsiTheme="majorBidi" w:cstheme="majorBidi"/>
          <w:sz w:val="22"/>
          <w:szCs w:val="22"/>
          <w:lang w:val="en-GB"/>
        </w:rPr>
        <w:t>287.</w:t>
      </w:r>
    </w:p>
  </w:footnote>
  <w:footnote w:id="61">
    <w:p w14:paraId="0ED1A1AA" w14:textId="19C0BBB9"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Richard </w:t>
      </w:r>
      <w:r w:rsidRPr="00570A96">
        <w:rPr>
          <w:rFonts w:asciiTheme="majorBidi" w:eastAsia="Times New Roman" w:hAnsiTheme="majorBidi" w:cstheme="majorBidi"/>
          <w:sz w:val="22"/>
          <w:szCs w:val="22"/>
          <w:lang w:val="en-GB"/>
        </w:rPr>
        <w:t xml:space="preserve">Burkhauser, </w:t>
      </w:r>
      <w:proofErr w:type="gramStart"/>
      <w:r w:rsidRPr="00570A96">
        <w:rPr>
          <w:rFonts w:asciiTheme="majorBidi" w:eastAsia="Times New Roman" w:hAnsiTheme="majorBidi" w:cstheme="majorBidi"/>
          <w:sz w:val="22"/>
          <w:szCs w:val="22"/>
          <w:lang w:val="en-GB"/>
        </w:rPr>
        <w:t>‘ Post</w:t>
      </w:r>
      <w:proofErr w:type="gramEnd"/>
      <w:r w:rsidRPr="00570A96">
        <w:rPr>
          <w:rFonts w:asciiTheme="majorBidi" w:eastAsia="Times New Roman" w:hAnsiTheme="majorBidi" w:cstheme="majorBidi"/>
          <w:sz w:val="22"/>
          <w:szCs w:val="22"/>
          <w:lang w:val="en-GB"/>
        </w:rPr>
        <w:t xml:space="preserve">-ADA: Are people with disabilities expected to work?’ </w:t>
      </w:r>
      <w:proofErr w:type="gramStart"/>
      <w:r w:rsidRPr="00570A96">
        <w:rPr>
          <w:rFonts w:asciiTheme="majorBidi" w:eastAsia="Times New Roman" w:hAnsiTheme="majorBidi" w:cstheme="majorBidi"/>
          <w:sz w:val="22"/>
          <w:szCs w:val="22"/>
          <w:lang w:val="en-GB"/>
        </w:rPr>
        <w:t xml:space="preserve">(1997) 549 </w:t>
      </w:r>
      <w:r w:rsidRPr="00B63E94">
        <w:rPr>
          <w:rFonts w:asciiTheme="majorBidi" w:eastAsia="Times New Roman" w:hAnsiTheme="majorBidi" w:cstheme="majorBidi"/>
          <w:iCs/>
          <w:sz w:val="22"/>
          <w:szCs w:val="22"/>
          <w:lang w:val="en-GB"/>
        </w:rPr>
        <w:t>Annals of the American Academy of Political and Social Science</w:t>
      </w:r>
      <w:r w:rsidRPr="00570A96">
        <w:rPr>
          <w:rFonts w:asciiTheme="majorBidi" w:eastAsia="Times New Roman" w:hAnsiTheme="majorBidi" w:cstheme="majorBidi"/>
          <w:i/>
          <w:iCs/>
          <w:sz w:val="22"/>
          <w:szCs w:val="22"/>
          <w:lang w:val="en-GB"/>
        </w:rPr>
        <w:t xml:space="preserve"> 71.</w:t>
      </w:r>
      <w:proofErr w:type="gramEnd"/>
      <w:r w:rsidRPr="00570A96">
        <w:rPr>
          <w:rFonts w:asciiTheme="majorBidi" w:eastAsia="Times New Roman" w:hAnsiTheme="majorBidi" w:cstheme="majorBidi"/>
          <w:sz w:val="22"/>
          <w:szCs w:val="22"/>
          <w:lang w:val="en-GB"/>
        </w:rPr>
        <w:t xml:space="preserve"> </w:t>
      </w:r>
    </w:p>
  </w:footnote>
  <w:footnote w:id="62">
    <w:p w14:paraId="1B33A1FE" w14:textId="5FBC7923"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Pr="00570A96">
        <w:rPr>
          <w:sz w:val="22"/>
          <w:szCs w:val="22"/>
          <w:lang w:val="en-AU"/>
        </w:rPr>
        <w:t xml:space="preserve">See </w:t>
      </w:r>
      <w:r w:rsidRPr="00570A96">
        <w:rPr>
          <w:rFonts w:asciiTheme="majorBidi" w:eastAsia="Times New Roman" w:hAnsiTheme="majorBidi" w:cstheme="majorBidi"/>
          <w:sz w:val="22"/>
          <w:szCs w:val="22"/>
        </w:rPr>
        <w:t>Barnes</w:t>
      </w:r>
      <w:r>
        <w:rPr>
          <w:rFonts w:asciiTheme="majorBidi" w:eastAsia="Times New Roman" w:hAnsiTheme="majorBidi" w:cstheme="majorBidi"/>
          <w:sz w:val="22"/>
          <w:szCs w:val="22"/>
        </w:rPr>
        <w:t>,</w:t>
      </w:r>
      <w:r w:rsidR="00C91D28">
        <w:rPr>
          <w:rFonts w:asciiTheme="majorBidi" w:eastAsia="Times New Roman" w:hAnsiTheme="majorBidi" w:cstheme="majorBidi"/>
          <w:sz w:val="22"/>
          <w:szCs w:val="22"/>
        </w:rPr>
        <w:t xml:space="preserve"> </w:t>
      </w:r>
      <w:r w:rsidR="00CE74BB">
        <w:rPr>
          <w:rFonts w:asciiTheme="majorBidi" w:eastAsia="Times New Roman" w:hAnsiTheme="majorBidi" w:cstheme="majorBidi"/>
          <w:sz w:val="22"/>
          <w:szCs w:val="22"/>
        </w:rPr>
        <w:t>2000</w:t>
      </w:r>
      <w:r w:rsidR="00524D5E">
        <w:rPr>
          <w:rFonts w:asciiTheme="majorBidi" w:eastAsia="Times New Roman" w:hAnsiTheme="majorBidi" w:cstheme="majorBidi"/>
          <w:sz w:val="22"/>
          <w:szCs w:val="22"/>
        </w:rPr>
        <w:t xml:space="preserve"> </w:t>
      </w:r>
      <w:r w:rsidRPr="00570A96">
        <w:rPr>
          <w:rFonts w:asciiTheme="majorBidi" w:eastAsia="Times New Roman" w:hAnsiTheme="majorBidi" w:cstheme="majorBidi"/>
          <w:sz w:val="22"/>
          <w:szCs w:val="22"/>
        </w:rPr>
        <w:t>(n 11);</w:t>
      </w:r>
      <w:r w:rsidR="005F3CF7">
        <w:rPr>
          <w:rFonts w:asciiTheme="majorBidi" w:eastAsia="Times New Roman" w:hAnsiTheme="majorBidi" w:cstheme="majorBidi"/>
          <w:sz w:val="22"/>
          <w:szCs w:val="22"/>
        </w:rPr>
        <w:t xml:space="preserve"> 2003;</w:t>
      </w:r>
      <w:r w:rsidRPr="00570A96">
        <w:rPr>
          <w:rFonts w:asciiTheme="majorBidi" w:eastAsia="Times New Roman" w:hAnsiTheme="majorBidi" w:cstheme="majorBidi"/>
          <w:sz w:val="22"/>
          <w:szCs w:val="22"/>
        </w:rPr>
        <w:t xml:space="preserve"> Bammer </w:t>
      </w:r>
      <w:r w:rsidRPr="00570A96">
        <w:rPr>
          <w:rFonts w:asciiTheme="majorBidi" w:eastAsia="Times New Roman" w:hAnsiTheme="majorBidi" w:cstheme="majorBidi"/>
          <w:sz w:val="22"/>
          <w:szCs w:val="22"/>
          <w:lang w:val="en-GB"/>
        </w:rPr>
        <w:t xml:space="preserve">Gleeson, </w:t>
      </w:r>
      <w:r w:rsidRPr="00570A96">
        <w:rPr>
          <w:rFonts w:asciiTheme="majorBidi" w:eastAsia="Times New Roman" w:hAnsiTheme="majorBidi" w:cstheme="majorBidi"/>
          <w:i/>
          <w:iCs/>
          <w:sz w:val="22"/>
          <w:szCs w:val="22"/>
          <w:lang w:val="en-GB"/>
        </w:rPr>
        <w:t>Geographies of Disability</w:t>
      </w:r>
      <w:r w:rsidRPr="00570A96">
        <w:rPr>
          <w:rFonts w:asciiTheme="majorBidi" w:eastAsia="Times New Roman" w:hAnsiTheme="majorBidi" w:cstheme="majorBidi"/>
          <w:sz w:val="22"/>
          <w:szCs w:val="22"/>
          <w:lang w:val="en-GB"/>
        </w:rPr>
        <w:t xml:space="preserve"> (Routledge 1999).</w:t>
      </w:r>
    </w:p>
  </w:footnote>
  <w:footnote w:id="63">
    <w:p w14:paraId="26DA5FB2" w14:textId="33750061"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See </w:t>
      </w:r>
      <w:r w:rsidRPr="00570A96">
        <w:rPr>
          <w:rFonts w:asciiTheme="majorHAnsi" w:hAnsiTheme="majorHAnsi"/>
          <w:sz w:val="22"/>
          <w:szCs w:val="22"/>
        </w:rPr>
        <w:t>Barnes</w:t>
      </w:r>
      <w:r>
        <w:rPr>
          <w:rFonts w:asciiTheme="majorHAnsi" w:hAnsiTheme="majorHAnsi"/>
          <w:sz w:val="22"/>
          <w:szCs w:val="22"/>
        </w:rPr>
        <w:t xml:space="preserve">, </w:t>
      </w:r>
      <w:r w:rsidR="00043EB4">
        <w:rPr>
          <w:rFonts w:asciiTheme="majorHAnsi" w:hAnsiTheme="majorHAnsi"/>
          <w:sz w:val="22"/>
          <w:szCs w:val="22"/>
        </w:rPr>
        <w:t>2000</w:t>
      </w:r>
      <w:r w:rsidRPr="00570A96">
        <w:rPr>
          <w:rFonts w:asciiTheme="majorHAnsi" w:hAnsiTheme="majorHAnsi"/>
          <w:sz w:val="22"/>
          <w:szCs w:val="22"/>
        </w:rPr>
        <w:t xml:space="preserve"> (n 11);</w:t>
      </w:r>
      <w:r w:rsidR="005F3CF7" w:rsidRPr="005F3CF7">
        <w:rPr>
          <w:rFonts w:asciiTheme="majorHAnsi" w:hAnsiTheme="majorHAnsi"/>
          <w:sz w:val="22"/>
          <w:szCs w:val="22"/>
        </w:rPr>
        <w:t xml:space="preserve"> </w:t>
      </w:r>
      <w:r w:rsidR="005F3CF7">
        <w:rPr>
          <w:rFonts w:asciiTheme="majorHAnsi" w:hAnsiTheme="majorHAnsi"/>
          <w:sz w:val="22"/>
          <w:szCs w:val="22"/>
        </w:rPr>
        <w:t>Abberley, 1999</w:t>
      </w:r>
      <w:r w:rsidR="00F84994">
        <w:rPr>
          <w:rFonts w:asciiTheme="majorHAnsi" w:hAnsiTheme="majorHAnsi"/>
          <w:sz w:val="22"/>
          <w:szCs w:val="22"/>
        </w:rPr>
        <w:t xml:space="preserve"> (n 15)</w:t>
      </w:r>
    </w:p>
  </w:footnote>
  <w:footnote w:id="64">
    <w:p w14:paraId="22960203" w14:textId="590B1FCD"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0006083E" w:rsidRPr="0006083E">
        <w:rPr>
          <w:sz w:val="22"/>
          <w:szCs w:val="22"/>
        </w:rPr>
        <w:t xml:space="preserve"> </w:t>
      </w:r>
      <w:r w:rsidR="0006083E" w:rsidRPr="00570A96">
        <w:rPr>
          <w:sz w:val="22"/>
          <w:szCs w:val="22"/>
        </w:rPr>
        <w:t>Ibid.</w:t>
      </w:r>
    </w:p>
  </w:footnote>
  <w:footnote w:id="65">
    <w:p w14:paraId="6FD7F877" w14:textId="2AB5106B" w:rsidR="00A567A4" w:rsidRPr="00570A96" w:rsidRDefault="00A567A4" w:rsidP="00093E09">
      <w:pPr>
        <w:pStyle w:val="FootnoteText"/>
        <w:jc w:val="both"/>
        <w:rPr>
          <w:sz w:val="22"/>
          <w:szCs w:val="22"/>
          <w:lang w:val="en-GB"/>
        </w:rPr>
      </w:pPr>
      <w:r w:rsidRPr="00570A96">
        <w:rPr>
          <w:rStyle w:val="FootnoteReference"/>
          <w:sz w:val="22"/>
          <w:szCs w:val="22"/>
        </w:rPr>
        <w:footnoteRef/>
      </w:r>
      <w:r w:rsidRPr="00570A96">
        <w:rPr>
          <w:sz w:val="22"/>
          <w:szCs w:val="22"/>
        </w:rPr>
        <w:t xml:space="preserve"> </w:t>
      </w:r>
      <w:proofErr w:type="gramStart"/>
      <w:r w:rsidRPr="00570A96">
        <w:rPr>
          <w:rFonts w:asciiTheme="majorHAnsi" w:hAnsiTheme="majorHAnsi"/>
          <w:sz w:val="22"/>
          <w:szCs w:val="22"/>
        </w:rPr>
        <w:t>Barnes</w:t>
      </w:r>
      <w:r w:rsidR="00043EB4">
        <w:rPr>
          <w:rFonts w:asciiTheme="majorHAnsi" w:hAnsiTheme="majorHAnsi"/>
          <w:sz w:val="22"/>
          <w:szCs w:val="22"/>
        </w:rPr>
        <w:t>,</w:t>
      </w:r>
      <w:r w:rsidR="000E4D24">
        <w:rPr>
          <w:rFonts w:asciiTheme="majorHAnsi" w:hAnsiTheme="majorHAnsi"/>
          <w:sz w:val="22"/>
          <w:szCs w:val="22"/>
        </w:rPr>
        <w:t xml:space="preserve"> </w:t>
      </w:r>
      <w:r w:rsidR="00043EB4">
        <w:rPr>
          <w:rFonts w:asciiTheme="majorHAnsi" w:hAnsiTheme="majorHAnsi"/>
          <w:sz w:val="22"/>
          <w:szCs w:val="22"/>
        </w:rPr>
        <w:t>2000</w:t>
      </w:r>
      <w:r w:rsidR="00524D5E">
        <w:rPr>
          <w:rFonts w:asciiTheme="majorHAnsi" w:hAnsiTheme="majorHAnsi"/>
          <w:sz w:val="22"/>
          <w:szCs w:val="22"/>
        </w:rPr>
        <w:t xml:space="preserve"> </w:t>
      </w:r>
      <w:r w:rsidRPr="00570A96">
        <w:rPr>
          <w:rFonts w:asciiTheme="majorHAnsi" w:hAnsiTheme="majorHAnsi"/>
          <w:sz w:val="22"/>
          <w:szCs w:val="22"/>
        </w:rPr>
        <w:t>(n11); Hodges-Aeberhard and Raskin (n57).</w:t>
      </w:r>
      <w:proofErr w:type="gramEnd"/>
    </w:p>
  </w:footnote>
  <w:footnote w:id="66">
    <w:p w14:paraId="4B63E318" w14:textId="068E4C9F" w:rsidR="00A567A4" w:rsidRPr="00570A96" w:rsidRDefault="00A567A4" w:rsidP="00093E09">
      <w:pPr>
        <w:pStyle w:val="FootnoteText"/>
        <w:jc w:val="both"/>
        <w:rPr>
          <w:sz w:val="22"/>
          <w:szCs w:val="22"/>
          <w:lang w:val="en-GB"/>
        </w:rPr>
      </w:pPr>
      <w:r w:rsidRPr="00570A96">
        <w:rPr>
          <w:rStyle w:val="FootnoteReference"/>
          <w:sz w:val="22"/>
          <w:szCs w:val="22"/>
        </w:rPr>
        <w:footnoteRef/>
      </w:r>
      <w:r w:rsidRPr="00570A96">
        <w:rPr>
          <w:sz w:val="22"/>
          <w:szCs w:val="22"/>
        </w:rPr>
        <w:t xml:space="preserve"> </w:t>
      </w:r>
      <w:r w:rsidRPr="00570A96">
        <w:rPr>
          <w:sz w:val="22"/>
          <w:szCs w:val="22"/>
          <w:lang w:val="en-GB"/>
        </w:rPr>
        <w:t xml:space="preserve">House of Commons, </w:t>
      </w:r>
      <w:r w:rsidRPr="00B63E94">
        <w:rPr>
          <w:i/>
          <w:sz w:val="22"/>
          <w:szCs w:val="22"/>
          <w:lang w:val="en-GB"/>
        </w:rPr>
        <w:t>Employer Attitudes and Discrimination. Education and Employment</w:t>
      </w:r>
      <w:r w:rsidRPr="00570A96">
        <w:rPr>
          <w:sz w:val="22"/>
          <w:szCs w:val="22"/>
          <w:lang w:val="en-GB"/>
        </w:rPr>
        <w:t xml:space="preserve"> (House of Commons Report No. 9</w:t>
      </w:r>
      <w:proofErr w:type="gramStart"/>
      <w:r w:rsidRPr="00570A96">
        <w:rPr>
          <w:sz w:val="22"/>
          <w:szCs w:val="22"/>
          <w:lang w:val="en-GB"/>
        </w:rPr>
        <w:t>,1999</w:t>
      </w:r>
      <w:proofErr w:type="gramEnd"/>
      <w:r w:rsidRPr="00570A96">
        <w:rPr>
          <w:sz w:val="22"/>
          <w:szCs w:val="22"/>
          <w:lang w:val="en-GB"/>
        </w:rPr>
        <w:t>).</w:t>
      </w:r>
      <w:r w:rsidRPr="00570A96">
        <w:rPr>
          <w:sz w:val="22"/>
          <w:szCs w:val="22"/>
        </w:rPr>
        <w:t xml:space="preserve">; Darlene </w:t>
      </w:r>
      <w:r w:rsidRPr="00570A96">
        <w:rPr>
          <w:sz w:val="22"/>
          <w:szCs w:val="22"/>
          <w:lang w:val="en-GB"/>
        </w:rPr>
        <w:t xml:space="preserve">Unger, ‘Employers’ Attitudes Towards Persons with Disabilities in the Work Force: Myths or Realities’ (2002) 17 </w:t>
      </w:r>
      <w:r w:rsidRPr="00B63E94">
        <w:rPr>
          <w:sz w:val="22"/>
          <w:szCs w:val="22"/>
          <w:lang w:val="en-GB"/>
        </w:rPr>
        <w:t>Focus on Autism and Other Developmental Disabilities</w:t>
      </w:r>
      <w:r w:rsidRPr="00570A96">
        <w:rPr>
          <w:sz w:val="22"/>
          <w:szCs w:val="22"/>
          <w:lang w:val="en-GB"/>
        </w:rPr>
        <w:t xml:space="preserve"> 2</w:t>
      </w:r>
      <w:r w:rsidRPr="00570A96">
        <w:rPr>
          <w:sz w:val="22"/>
          <w:szCs w:val="22"/>
        </w:rPr>
        <w:t xml:space="preserve">; Frances </w:t>
      </w:r>
      <w:r w:rsidRPr="00570A96">
        <w:rPr>
          <w:sz w:val="22"/>
          <w:szCs w:val="22"/>
          <w:lang w:val="en-GB"/>
        </w:rPr>
        <w:t xml:space="preserve">Hannon, </w:t>
      </w:r>
      <w:r w:rsidRPr="00B63E94">
        <w:rPr>
          <w:i/>
          <w:sz w:val="22"/>
          <w:szCs w:val="22"/>
          <w:lang w:val="en-GB"/>
        </w:rPr>
        <w:t>Literature Review on Attitudes Towards Disability: Disability Research Series</w:t>
      </w:r>
      <w:r w:rsidRPr="00570A96">
        <w:rPr>
          <w:sz w:val="22"/>
          <w:szCs w:val="22"/>
          <w:lang w:val="en-GB"/>
        </w:rPr>
        <w:t xml:space="preserve"> (National Disability Authority 2007). </w:t>
      </w:r>
    </w:p>
  </w:footnote>
  <w:footnote w:id="67">
    <w:p w14:paraId="520BDEEB" w14:textId="3F4629F3" w:rsidR="00A567A4" w:rsidRPr="00B63E94" w:rsidRDefault="00A567A4" w:rsidP="00093E09">
      <w:pPr>
        <w:pStyle w:val="FootnoteText"/>
        <w:jc w:val="both"/>
        <w:rPr>
          <w:rFonts w:asciiTheme="majorHAnsi" w:hAnsiTheme="majorHAnsi"/>
          <w:sz w:val="22"/>
          <w:szCs w:val="22"/>
          <w:lang w:val="en-GB"/>
        </w:rPr>
      </w:pPr>
      <w:r w:rsidRPr="00570A96">
        <w:rPr>
          <w:rStyle w:val="FootnoteReference"/>
          <w:sz w:val="22"/>
          <w:szCs w:val="22"/>
        </w:rPr>
        <w:footnoteRef/>
      </w:r>
      <w:r w:rsidRPr="00570A96">
        <w:rPr>
          <w:sz w:val="22"/>
          <w:szCs w:val="22"/>
        </w:rPr>
        <w:t xml:space="preserve"> John </w:t>
      </w:r>
      <w:r w:rsidRPr="00570A96">
        <w:rPr>
          <w:rFonts w:asciiTheme="majorHAnsi" w:hAnsiTheme="majorHAnsi"/>
          <w:sz w:val="22"/>
          <w:szCs w:val="22"/>
          <w:lang w:val="en-GB"/>
        </w:rPr>
        <w:t xml:space="preserve">Kitching, ‘Can Small Businesses Help Reduce Employment Exclusion?’ (2006) 24 </w:t>
      </w:r>
      <w:r w:rsidRPr="00570A96">
        <w:rPr>
          <w:rFonts w:asciiTheme="majorHAnsi" w:hAnsiTheme="majorHAnsi"/>
          <w:sz w:val="22"/>
          <w:szCs w:val="22"/>
          <w:lang w:val="en-IE"/>
        </w:rPr>
        <w:t xml:space="preserve">Environment and Planning C: Government and Policy 869; Marilyn </w:t>
      </w:r>
      <w:r w:rsidRPr="00570A96">
        <w:rPr>
          <w:rFonts w:asciiTheme="majorHAnsi" w:hAnsiTheme="majorHAnsi"/>
          <w:sz w:val="22"/>
          <w:szCs w:val="22"/>
          <w:lang w:val="en-GB"/>
        </w:rPr>
        <w:t xml:space="preserve">Howard, </w:t>
      </w:r>
      <w:proofErr w:type="gramStart"/>
      <w:r w:rsidRPr="00570A96">
        <w:rPr>
          <w:rFonts w:asciiTheme="majorHAnsi" w:hAnsiTheme="majorHAnsi"/>
          <w:sz w:val="22"/>
          <w:szCs w:val="22"/>
          <w:lang w:val="en-GB"/>
        </w:rPr>
        <w:t>‘ An</w:t>
      </w:r>
      <w:proofErr w:type="gramEnd"/>
      <w:r w:rsidRPr="00570A96">
        <w:rPr>
          <w:rFonts w:asciiTheme="majorHAnsi" w:hAnsiTheme="majorHAnsi"/>
          <w:sz w:val="22"/>
          <w:szCs w:val="22"/>
          <w:lang w:val="en-GB"/>
        </w:rPr>
        <w:t xml:space="preserve"> Interactionist Perspective on Barriers and Bridges to Work for Disabled People’ (2003) IPPR Research Paper, </w:t>
      </w:r>
      <w:r w:rsidRPr="00570A96">
        <w:rPr>
          <w:rFonts w:asciiTheme="majorHAnsi" w:hAnsiTheme="majorHAnsi"/>
          <w:sz w:val="22"/>
          <w:szCs w:val="22"/>
          <w:lang w:val="en-IE"/>
        </w:rPr>
        <w:t xml:space="preserve">Institute for Public Policy Research; Arthur </w:t>
      </w:r>
      <w:r w:rsidRPr="00570A96">
        <w:rPr>
          <w:rFonts w:asciiTheme="majorHAnsi" w:hAnsiTheme="majorHAnsi"/>
          <w:sz w:val="22"/>
          <w:szCs w:val="22"/>
          <w:lang w:val="en-GB"/>
        </w:rPr>
        <w:t>Crisps, ‘Tendency to Stigmatize’</w:t>
      </w:r>
      <w:r w:rsidRPr="00570A96">
        <w:rPr>
          <w:rFonts w:asciiTheme="majorHAnsi" w:hAnsiTheme="majorHAnsi"/>
          <w:i/>
          <w:sz w:val="22"/>
          <w:szCs w:val="22"/>
          <w:lang w:val="en-GB"/>
        </w:rPr>
        <w:t xml:space="preserve"> </w:t>
      </w:r>
      <w:r w:rsidRPr="00B63E94">
        <w:rPr>
          <w:rFonts w:asciiTheme="majorHAnsi" w:hAnsiTheme="majorHAnsi"/>
          <w:sz w:val="22"/>
          <w:szCs w:val="22"/>
          <w:lang w:val="en-GB"/>
        </w:rPr>
        <w:t>(2001)</w:t>
      </w:r>
      <w:r w:rsidRPr="00570A96">
        <w:rPr>
          <w:rFonts w:asciiTheme="majorHAnsi" w:hAnsiTheme="majorHAnsi"/>
          <w:i/>
          <w:sz w:val="22"/>
          <w:szCs w:val="22"/>
          <w:lang w:val="en-GB"/>
        </w:rPr>
        <w:t xml:space="preserve"> </w:t>
      </w:r>
      <w:r w:rsidRPr="00B63E94">
        <w:rPr>
          <w:rFonts w:asciiTheme="majorHAnsi" w:hAnsiTheme="majorHAnsi"/>
          <w:sz w:val="22"/>
          <w:szCs w:val="22"/>
          <w:lang w:val="en-GB"/>
        </w:rPr>
        <w:t>178  British Journal of Psychiatry</w:t>
      </w:r>
      <w:r w:rsidRPr="00570A96">
        <w:rPr>
          <w:rFonts w:asciiTheme="majorHAnsi" w:hAnsiTheme="majorHAnsi"/>
          <w:sz w:val="22"/>
          <w:szCs w:val="22"/>
          <w:lang w:val="en-GB"/>
        </w:rPr>
        <w:t xml:space="preserve"> 197; Liz Sayce, </w:t>
      </w:r>
      <w:r w:rsidRPr="00570A96">
        <w:rPr>
          <w:rFonts w:asciiTheme="majorHAnsi" w:hAnsiTheme="majorHAnsi"/>
          <w:i/>
          <w:iCs/>
          <w:sz w:val="22"/>
          <w:szCs w:val="22"/>
          <w:lang w:val="en-GB"/>
        </w:rPr>
        <w:t>Getting in, staying in and getting on: Disability employment support fit for the future</w:t>
      </w:r>
      <w:r w:rsidRPr="00570A96">
        <w:rPr>
          <w:rFonts w:asciiTheme="majorHAnsi" w:hAnsiTheme="majorHAnsi"/>
          <w:sz w:val="22"/>
          <w:szCs w:val="22"/>
          <w:lang w:val="en-GB"/>
        </w:rPr>
        <w:t xml:space="preserve"> (The Stationery Office 2011).</w:t>
      </w:r>
    </w:p>
  </w:footnote>
  <w:footnote w:id="68">
    <w:p w14:paraId="2C73B6FD" w14:textId="5AE092CC" w:rsidR="00A567A4" w:rsidRPr="00570A96" w:rsidRDefault="00A567A4" w:rsidP="00093E09">
      <w:pPr>
        <w:pStyle w:val="FootnoteText"/>
        <w:jc w:val="both"/>
        <w:rPr>
          <w:sz w:val="22"/>
          <w:szCs w:val="22"/>
          <w:lang w:val="en-GB"/>
        </w:rPr>
      </w:pPr>
      <w:r w:rsidRPr="00570A96">
        <w:rPr>
          <w:rStyle w:val="FootnoteReference"/>
          <w:sz w:val="22"/>
          <w:szCs w:val="22"/>
        </w:rPr>
        <w:footnoteRef/>
      </w:r>
      <w:r w:rsidRPr="00570A96">
        <w:rPr>
          <w:sz w:val="22"/>
          <w:szCs w:val="22"/>
        </w:rPr>
        <w:t xml:space="preserve"> Carol </w:t>
      </w:r>
      <w:r w:rsidRPr="00570A96">
        <w:rPr>
          <w:sz w:val="22"/>
          <w:szCs w:val="22"/>
          <w:lang w:val="en-GB"/>
        </w:rPr>
        <w:t xml:space="preserve">Goldstone, </w:t>
      </w:r>
      <w:r w:rsidRPr="00B63E94">
        <w:rPr>
          <w:i/>
          <w:sz w:val="22"/>
          <w:szCs w:val="22"/>
          <w:lang w:val="en-GB"/>
        </w:rPr>
        <w:t xml:space="preserve">Barriers to Employment for Disabled People. </w:t>
      </w:r>
      <w:proofErr w:type="gramStart"/>
      <w:r w:rsidRPr="00B63E94">
        <w:rPr>
          <w:i/>
          <w:sz w:val="22"/>
          <w:szCs w:val="22"/>
          <w:lang w:val="en-GB"/>
        </w:rPr>
        <w:t>In-House Report 95</w:t>
      </w:r>
      <w:r w:rsidRPr="00570A96">
        <w:rPr>
          <w:sz w:val="22"/>
          <w:szCs w:val="22"/>
          <w:lang w:val="en-GB"/>
        </w:rPr>
        <w:t xml:space="preserve"> (Department of Work and Pension Report 95, 2002)</w:t>
      </w:r>
      <w:r w:rsidRPr="00570A96">
        <w:rPr>
          <w:sz w:val="22"/>
          <w:szCs w:val="22"/>
        </w:rPr>
        <w:t xml:space="preserve">, Equality North East, </w:t>
      </w:r>
      <w:r w:rsidRPr="00B63E94">
        <w:rPr>
          <w:i/>
          <w:sz w:val="22"/>
          <w:szCs w:val="22"/>
          <w:lang w:val="en-GB"/>
        </w:rPr>
        <w:t>Barriers to Employment 2004-2005 Report</w:t>
      </w:r>
      <w:r w:rsidRPr="00570A96">
        <w:rPr>
          <w:sz w:val="22"/>
          <w:szCs w:val="22"/>
          <w:lang w:val="en-GB"/>
        </w:rPr>
        <w:t xml:space="preserve"> (The European Social Fund Report of 2004/2005,</w:t>
      </w:r>
      <w:r w:rsidRPr="00570A96">
        <w:rPr>
          <w:sz w:val="22"/>
          <w:szCs w:val="22"/>
        </w:rPr>
        <w:t xml:space="preserve"> 2005); Sayce (n67).</w:t>
      </w:r>
      <w:proofErr w:type="gramEnd"/>
    </w:p>
  </w:footnote>
  <w:footnote w:id="69">
    <w:p w14:paraId="6E3FC4AD" w14:textId="746C8023"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w:t>
      </w:r>
      <w:proofErr w:type="gramStart"/>
      <w:r w:rsidRPr="00570A96">
        <w:rPr>
          <w:rFonts w:asciiTheme="majorBidi" w:eastAsia="Times New Roman" w:hAnsiTheme="majorBidi" w:cstheme="majorBidi"/>
          <w:sz w:val="22"/>
          <w:szCs w:val="22"/>
        </w:rPr>
        <w:t>Oliver (n 4).</w:t>
      </w:r>
      <w:proofErr w:type="gramEnd"/>
    </w:p>
  </w:footnote>
  <w:footnote w:id="70">
    <w:p w14:paraId="1F69069A" w14:textId="02C794AC"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Pr="00570A96">
        <w:rPr>
          <w:rFonts w:asciiTheme="majorBidi" w:eastAsia="Times New Roman" w:hAnsiTheme="majorBidi" w:cstheme="majorBidi"/>
          <w:sz w:val="22"/>
          <w:szCs w:val="22"/>
        </w:rPr>
        <w:t xml:space="preserve"> </w:t>
      </w:r>
      <w:r w:rsidR="003B7366">
        <w:rPr>
          <w:rFonts w:asciiTheme="majorBidi" w:eastAsia="Times New Roman" w:hAnsiTheme="majorBidi" w:cstheme="majorBidi"/>
          <w:sz w:val="22"/>
          <w:szCs w:val="22"/>
        </w:rPr>
        <w:t xml:space="preserve">Michael </w:t>
      </w:r>
      <w:r w:rsidR="003B7366" w:rsidRPr="003B7366">
        <w:rPr>
          <w:rFonts w:asciiTheme="majorBidi" w:eastAsia="Times New Roman" w:hAnsiTheme="majorBidi" w:cstheme="majorBidi"/>
          <w:sz w:val="22"/>
          <w:szCs w:val="22"/>
        </w:rPr>
        <w:t>Davidson</w:t>
      </w:r>
      <w:r w:rsidR="003B7366">
        <w:rPr>
          <w:rFonts w:asciiTheme="majorBidi" w:eastAsia="Times New Roman" w:hAnsiTheme="majorBidi" w:cstheme="majorBidi"/>
          <w:sz w:val="22"/>
          <w:szCs w:val="22"/>
        </w:rPr>
        <w:t xml:space="preserve"> ‘</w:t>
      </w:r>
      <w:r w:rsidR="003B7366" w:rsidRPr="003B7366">
        <w:rPr>
          <w:rFonts w:asciiTheme="majorBidi" w:eastAsia="Times New Roman" w:hAnsiTheme="majorBidi" w:cstheme="majorBidi"/>
          <w:sz w:val="22"/>
          <w:szCs w:val="22"/>
        </w:rPr>
        <w:t>The Work of Disability in an Age of Globalization</w:t>
      </w:r>
      <w:r w:rsidR="003B7366">
        <w:rPr>
          <w:rFonts w:asciiTheme="majorBidi" w:eastAsia="Times New Roman" w:hAnsiTheme="majorBidi" w:cstheme="majorBidi"/>
          <w:sz w:val="22"/>
          <w:szCs w:val="22"/>
        </w:rPr>
        <w:t xml:space="preserve">’ in Lennard </w:t>
      </w:r>
      <w:r w:rsidR="003B7366" w:rsidRPr="003B7366">
        <w:rPr>
          <w:rFonts w:asciiTheme="majorBidi" w:eastAsia="Times New Roman" w:hAnsiTheme="majorBidi" w:cstheme="majorBidi"/>
          <w:sz w:val="22"/>
          <w:szCs w:val="22"/>
        </w:rPr>
        <w:t>Davis</w:t>
      </w:r>
      <w:r w:rsidR="003B7366">
        <w:rPr>
          <w:rFonts w:asciiTheme="majorBidi" w:eastAsia="Times New Roman" w:hAnsiTheme="majorBidi" w:cstheme="majorBidi"/>
          <w:sz w:val="22"/>
          <w:szCs w:val="22"/>
        </w:rPr>
        <w:t xml:space="preserve"> (ed.)</w:t>
      </w:r>
      <w:r w:rsidR="003B7366" w:rsidRPr="003B7366">
        <w:rPr>
          <w:rFonts w:asciiTheme="majorBidi" w:eastAsia="Times New Roman" w:hAnsiTheme="majorBidi" w:cstheme="majorBidi"/>
          <w:sz w:val="22"/>
          <w:szCs w:val="22"/>
        </w:rPr>
        <w:t xml:space="preserve"> The disability studies reader</w:t>
      </w:r>
      <w:r w:rsidR="003B7366">
        <w:rPr>
          <w:rFonts w:asciiTheme="majorBidi" w:eastAsia="Times New Roman" w:hAnsiTheme="majorBidi" w:cstheme="majorBidi"/>
          <w:sz w:val="22"/>
          <w:szCs w:val="22"/>
        </w:rPr>
        <w:t xml:space="preserve"> (</w:t>
      </w:r>
      <w:r w:rsidR="003B7366" w:rsidRPr="003B7366">
        <w:rPr>
          <w:rFonts w:asciiTheme="majorBidi" w:eastAsia="Times New Roman" w:hAnsiTheme="majorBidi" w:cstheme="majorBidi"/>
          <w:sz w:val="22"/>
          <w:szCs w:val="22"/>
        </w:rPr>
        <w:t>Taylor &amp; Francis 2006</w:t>
      </w:r>
      <w:r w:rsidR="003B7366">
        <w:rPr>
          <w:rFonts w:asciiTheme="majorBidi" w:eastAsia="Times New Roman" w:hAnsiTheme="majorBidi" w:cstheme="majorBidi"/>
          <w:sz w:val="22"/>
          <w:szCs w:val="22"/>
        </w:rPr>
        <w:t xml:space="preserve">) </w:t>
      </w:r>
    </w:p>
  </w:footnote>
  <w:footnote w:id="71">
    <w:p w14:paraId="1B2F0F33" w14:textId="017CC25E" w:rsidR="00A567A4" w:rsidRPr="00570A96" w:rsidRDefault="00A567A4" w:rsidP="00B63E94">
      <w:pPr>
        <w:pStyle w:val="FootnoteText"/>
        <w:rPr>
          <w:sz w:val="22"/>
          <w:szCs w:val="22"/>
          <w:lang w:val="en-GB"/>
        </w:rPr>
      </w:pPr>
      <w:r w:rsidRPr="00570A96">
        <w:rPr>
          <w:rStyle w:val="FootnoteReference"/>
          <w:sz w:val="22"/>
          <w:szCs w:val="22"/>
        </w:rPr>
        <w:footnoteRef/>
      </w:r>
      <w:r w:rsidRPr="00570A96">
        <w:rPr>
          <w:sz w:val="22"/>
          <w:szCs w:val="22"/>
        </w:rPr>
        <w:t xml:space="preserve"> Peter </w:t>
      </w:r>
      <w:r w:rsidRPr="00570A96">
        <w:rPr>
          <w:sz w:val="22"/>
          <w:szCs w:val="22"/>
          <w:lang w:val="en-GB"/>
        </w:rPr>
        <w:t xml:space="preserve">Kemp, ‘Comparing Trends in Disability Benefit Receipt’ in Peter Kemp, Annika Sunden &amp; Bernhard Bakker –Tauritz (eds). </w:t>
      </w:r>
      <w:r w:rsidRPr="00B63E94">
        <w:rPr>
          <w:i/>
          <w:sz w:val="22"/>
          <w:szCs w:val="22"/>
          <w:lang w:val="en-GB"/>
        </w:rPr>
        <w:t>Sick societies: Trends in Disability Benefits in Post Industrial Welfare States</w:t>
      </w:r>
      <w:r w:rsidRPr="00570A96">
        <w:rPr>
          <w:sz w:val="22"/>
          <w:szCs w:val="22"/>
          <w:lang w:val="en-GB"/>
        </w:rPr>
        <w:t xml:space="preserve"> (International Social Security Association 2006).</w:t>
      </w:r>
    </w:p>
  </w:footnote>
  <w:footnote w:id="72">
    <w:p w14:paraId="7766D56A" w14:textId="70AB2F02" w:rsidR="00A567A4" w:rsidRPr="00570A96" w:rsidRDefault="00A567A4" w:rsidP="00093E09">
      <w:pPr>
        <w:pStyle w:val="FootnoteText"/>
        <w:jc w:val="both"/>
        <w:rPr>
          <w:sz w:val="22"/>
          <w:szCs w:val="22"/>
          <w:lang w:val="en-AU"/>
        </w:rPr>
      </w:pPr>
      <w:r w:rsidRPr="00903E9B">
        <w:rPr>
          <w:rStyle w:val="FootnoteReference"/>
          <w:sz w:val="22"/>
          <w:szCs w:val="22"/>
        </w:rPr>
        <w:footnoteRef/>
      </w:r>
      <w:r w:rsidRPr="00903E9B">
        <w:rPr>
          <w:sz w:val="22"/>
          <w:szCs w:val="22"/>
        </w:rPr>
        <w:t xml:space="preserve"> </w:t>
      </w:r>
      <w:r w:rsidRPr="00903E9B">
        <w:rPr>
          <w:rFonts w:asciiTheme="majorBidi" w:eastAsia="Times New Roman" w:hAnsiTheme="majorBidi" w:cstheme="majorBidi"/>
          <w:sz w:val="22"/>
          <w:szCs w:val="22"/>
        </w:rPr>
        <w:t xml:space="preserve"> </w:t>
      </w:r>
      <w:proofErr w:type="gramStart"/>
      <w:r w:rsidR="00A669A0" w:rsidRPr="00A669A0">
        <w:rPr>
          <w:rFonts w:asciiTheme="majorBidi" w:eastAsia="Times New Roman" w:hAnsiTheme="majorBidi" w:cstheme="majorBidi"/>
          <w:sz w:val="22"/>
          <w:szCs w:val="22"/>
        </w:rPr>
        <w:t>Colin Barnes</w:t>
      </w:r>
      <w:r w:rsidR="00A669A0">
        <w:rPr>
          <w:rFonts w:asciiTheme="majorBidi" w:eastAsia="Times New Roman" w:hAnsiTheme="majorBidi" w:cstheme="majorBidi"/>
          <w:sz w:val="22"/>
          <w:szCs w:val="22"/>
        </w:rPr>
        <w:t xml:space="preserve"> ‘</w:t>
      </w:r>
      <w:r w:rsidR="00A669A0" w:rsidRPr="00A669A0">
        <w:rPr>
          <w:rFonts w:asciiTheme="majorBidi" w:eastAsia="Times New Roman" w:hAnsiTheme="majorBidi" w:cstheme="majorBidi"/>
          <w:sz w:val="22"/>
          <w:szCs w:val="22"/>
        </w:rPr>
        <w:t>Disability and paid employment</w:t>
      </w:r>
      <w:r w:rsidR="00A669A0">
        <w:rPr>
          <w:rFonts w:asciiTheme="majorBidi" w:eastAsia="Times New Roman" w:hAnsiTheme="majorBidi" w:cstheme="majorBidi"/>
          <w:sz w:val="22"/>
          <w:szCs w:val="22"/>
        </w:rPr>
        <w:t xml:space="preserve">’ </w:t>
      </w:r>
      <w:r w:rsidR="00A669A0" w:rsidRPr="00A669A0">
        <w:rPr>
          <w:rFonts w:asciiTheme="majorBidi" w:eastAsia="Times New Roman" w:hAnsiTheme="majorBidi" w:cstheme="majorBidi"/>
          <w:sz w:val="22"/>
          <w:szCs w:val="22"/>
        </w:rPr>
        <w:t>13</w:t>
      </w:r>
      <w:r w:rsidR="00A669A0">
        <w:rPr>
          <w:rFonts w:asciiTheme="majorBidi" w:eastAsia="Times New Roman" w:hAnsiTheme="majorBidi" w:cstheme="majorBidi"/>
          <w:sz w:val="22"/>
          <w:szCs w:val="22"/>
        </w:rPr>
        <w:t xml:space="preserve"> </w:t>
      </w:r>
      <w:r w:rsidR="00A669A0" w:rsidRPr="00A669A0">
        <w:rPr>
          <w:rFonts w:asciiTheme="majorBidi" w:eastAsia="Times New Roman" w:hAnsiTheme="majorBidi" w:cstheme="majorBidi"/>
          <w:sz w:val="22"/>
          <w:szCs w:val="22"/>
        </w:rPr>
        <w:t>Work, Employment and Society (1999) 147.</w:t>
      </w:r>
      <w:proofErr w:type="gramEnd"/>
      <w:r w:rsidR="00A669A0" w:rsidRPr="00A669A0" w:rsidDel="00A669A0">
        <w:rPr>
          <w:rFonts w:asciiTheme="majorBidi" w:eastAsia="Times New Roman" w:hAnsiTheme="majorBidi" w:cstheme="majorBidi"/>
          <w:sz w:val="22"/>
          <w:szCs w:val="22"/>
          <w:highlight w:val="yellow"/>
        </w:rPr>
        <w:t xml:space="preserve"> </w:t>
      </w:r>
    </w:p>
  </w:footnote>
  <w:footnote w:id="73">
    <w:p w14:paraId="3F16450F" w14:textId="2A39492C"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Dimitris </w:t>
      </w:r>
      <w:r w:rsidRPr="00570A96">
        <w:rPr>
          <w:rFonts w:asciiTheme="majorBidi" w:eastAsia="Times New Roman" w:hAnsiTheme="majorBidi" w:cstheme="majorBidi"/>
          <w:sz w:val="22"/>
          <w:szCs w:val="22"/>
          <w:lang w:val="en-GB"/>
        </w:rPr>
        <w:t xml:space="preserve">Michailakis, </w:t>
      </w:r>
      <w:proofErr w:type="gramStart"/>
      <w:r w:rsidRPr="00570A96">
        <w:rPr>
          <w:rFonts w:asciiTheme="majorBidi" w:eastAsia="Times New Roman" w:hAnsiTheme="majorBidi" w:cstheme="majorBidi"/>
          <w:sz w:val="22"/>
          <w:szCs w:val="22"/>
          <w:lang w:val="en-GB"/>
        </w:rPr>
        <w:t>‘ Information</w:t>
      </w:r>
      <w:proofErr w:type="gramEnd"/>
      <w:r w:rsidRPr="00570A96">
        <w:rPr>
          <w:rFonts w:asciiTheme="majorBidi" w:eastAsia="Times New Roman" w:hAnsiTheme="majorBidi" w:cstheme="majorBidi"/>
          <w:sz w:val="22"/>
          <w:szCs w:val="22"/>
          <w:lang w:val="en-GB"/>
        </w:rPr>
        <w:t xml:space="preserve"> and Communication Technologies and the Opportunities of Disabled Persons in the Swedish Labour Market’ (2001) 16 </w:t>
      </w:r>
      <w:r w:rsidRPr="00B63E94">
        <w:rPr>
          <w:rFonts w:asciiTheme="majorBidi" w:eastAsia="Times New Roman" w:hAnsiTheme="majorBidi" w:cstheme="majorBidi"/>
          <w:iCs/>
          <w:sz w:val="22"/>
          <w:szCs w:val="22"/>
          <w:lang w:val="en-GB"/>
        </w:rPr>
        <w:t>Disability &amp; Society 477</w:t>
      </w:r>
      <w:r w:rsidRPr="00570A96">
        <w:rPr>
          <w:rFonts w:asciiTheme="majorBidi" w:eastAsia="Times New Roman" w:hAnsiTheme="majorBidi" w:cstheme="majorBidi"/>
          <w:i/>
          <w:iCs/>
          <w:sz w:val="22"/>
          <w:szCs w:val="22"/>
          <w:lang w:val="en-GB"/>
        </w:rPr>
        <w:t>.</w:t>
      </w:r>
      <w:r w:rsidRPr="00570A96">
        <w:rPr>
          <w:rFonts w:asciiTheme="majorBidi" w:eastAsia="Times New Roman" w:hAnsiTheme="majorBidi" w:cstheme="majorBidi"/>
          <w:sz w:val="22"/>
          <w:szCs w:val="22"/>
          <w:lang w:val="en-GB"/>
        </w:rPr>
        <w:t xml:space="preserve"> </w:t>
      </w:r>
    </w:p>
  </w:footnote>
  <w:footnote w:id="74">
    <w:p w14:paraId="54642C89" w14:textId="38726CE9" w:rsidR="00A567A4" w:rsidRPr="00B63E94" w:rsidRDefault="00A567A4" w:rsidP="00944094">
      <w:pPr>
        <w:pStyle w:val="FootnoteText"/>
        <w:jc w:val="both"/>
        <w:rPr>
          <w:rFonts w:asciiTheme="majorBidi" w:eastAsia="Times New Roman" w:hAnsiTheme="majorBidi" w:cstheme="majorBidi"/>
          <w:sz w:val="22"/>
          <w:szCs w:val="22"/>
        </w:rPr>
      </w:pPr>
      <w:r w:rsidRPr="00570A96">
        <w:rPr>
          <w:rStyle w:val="FootnoteReference"/>
          <w:sz w:val="22"/>
          <w:szCs w:val="22"/>
        </w:rPr>
        <w:footnoteRef/>
      </w:r>
      <w:r w:rsidRPr="00570A96">
        <w:rPr>
          <w:sz w:val="22"/>
          <w:szCs w:val="22"/>
        </w:rPr>
        <w:t xml:space="preserve"> Jennifer </w:t>
      </w:r>
      <w:r w:rsidRPr="00570A96">
        <w:rPr>
          <w:rFonts w:asciiTheme="majorBidi" w:eastAsia="Times New Roman" w:hAnsiTheme="majorBidi" w:cstheme="majorBidi"/>
          <w:sz w:val="22"/>
          <w:szCs w:val="22"/>
          <w:lang w:val="en-GB"/>
        </w:rPr>
        <w:t xml:space="preserve">Light, ‘Separate but equal? Reasonable Accommodation in the Information Age’ (2001) 67 </w:t>
      </w:r>
      <w:r w:rsidRPr="00B63E94">
        <w:rPr>
          <w:rFonts w:asciiTheme="majorBidi" w:eastAsia="Times New Roman" w:hAnsiTheme="majorBidi" w:cstheme="majorBidi"/>
          <w:iCs/>
          <w:sz w:val="22"/>
          <w:szCs w:val="22"/>
          <w:lang w:val="en-GB"/>
        </w:rPr>
        <w:t xml:space="preserve">Journal of the American Planning Association </w:t>
      </w:r>
      <w:r w:rsidRPr="00570A96">
        <w:rPr>
          <w:rFonts w:asciiTheme="majorBidi" w:eastAsia="Times New Roman" w:hAnsiTheme="majorBidi" w:cstheme="majorBidi"/>
          <w:i/>
          <w:iCs/>
          <w:sz w:val="22"/>
          <w:szCs w:val="22"/>
          <w:lang w:val="en-GB"/>
        </w:rPr>
        <w:t>263;</w:t>
      </w:r>
      <w:r w:rsidRPr="00570A96">
        <w:rPr>
          <w:rFonts w:asciiTheme="majorBidi" w:eastAsia="Times New Roman" w:hAnsiTheme="majorBidi" w:cstheme="majorBidi"/>
          <w:sz w:val="22"/>
          <w:szCs w:val="22"/>
          <w:lang w:val="en-GB"/>
        </w:rPr>
        <w:t xml:space="preserve"> </w:t>
      </w:r>
      <w:proofErr w:type="gramStart"/>
      <w:r w:rsidRPr="00570A96">
        <w:rPr>
          <w:rFonts w:asciiTheme="majorBidi" w:eastAsia="Times New Roman" w:hAnsiTheme="majorBidi" w:cstheme="majorBidi"/>
          <w:sz w:val="22"/>
          <w:szCs w:val="22"/>
          <w:lang w:val="en-GB"/>
        </w:rPr>
        <w:t>See</w:t>
      </w:r>
      <w:proofErr w:type="gramEnd"/>
      <w:r w:rsidRPr="00570A96">
        <w:rPr>
          <w:rFonts w:asciiTheme="majorBidi" w:eastAsia="Times New Roman" w:hAnsiTheme="majorBidi" w:cstheme="majorBidi"/>
          <w:sz w:val="22"/>
          <w:szCs w:val="22"/>
          <w:lang w:val="en-GB"/>
        </w:rPr>
        <w:t xml:space="preserve"> also Katherine </w:t>
      </w:r>
      <w:r w:rsidRPr="00570A96">
        <w:rPr>
          <w:rFonts w:asciiTheme="majorBidi" w:eastAsia="Times New Roman" w:hAnsiTheme="majorBidi" w:cstheme="majorBidi"/>
          <w:sz w:val="22"/>
          <w:szCs w:val="22"/>
        </w:rPr>
        <w:t xml:space="preserve">Seelman, ‘Science and Technology Policy: Is Disability a Missing Factor?’ </w:t>
      </w:r>
      <w:proofErr w:type="gramStart"/>
      <w:r w:rsidRPr="00570A96">
        <w:rPr>
          <w:rFonts w:asciiTheme="majorBidi" w:eastAsia="Times New Roman" w:hAnsiTheme="majorBidi" w:cstheme="majorBidi"/>
          <w:sz w:val="22"/>
          <w:szCs w:val="22"/>
        </w:rPr>
        <w:t xml:space="preserve">2000 12 </w:t>
      </w:r>
      <w:r w:rsidRPr="00B63E94">
        <w:rPr>
          <w:rFonts w:asciiTheme="majorBidi" w:eastAsia="Times New Roman" w:hAnsiTheme="majorBidi" w:cstheme="majorBidi"/>
          <w:iCs/>
          <w:sz w:val="22"/>
          <w:szCs w:val="22"/>
        </w:rPr>
        <w:t>Assistive Technology</w:t>
      </w:r>
      <w:r w:rsidRPr="00570A96">
        <w:rPr>
          <w:rFonts w:asciiTheme="majorBidi" w:eastAsia="Times New Roman" w:hAnsiTheme="majorBidi" w:cstheme="majorBidi"/>
          <w:i/>
          <w:iCs/>
          <w:sz w:val="22"/>
          <w:szCs w:val="22"/>
        </w:rPr>
        <w:t xml:space="preserve"> 144.</w:t>
      </w:r>
      <w:proofErr w:type="gramEnd"/>
      <w:r w:rsidRPr="00570A96">
        <w:rPr>
          <w:rFonts w:asciiTheme="majorBidi" w:eastAsia="Times New Roman" w:hAnsiTheme="majorBidi" w:cstheme="majorBidi"/>
          <w:sz w:val="22"/>
          <w:szCs w:val="22"/>
        </w:rPr>
        <w:t xml:space="preserve"> </w:t>
      </w:r>
    </w:p>
  </w:footnote>
  <w:footnote w:id="75">
    <w:p w14:paraId="220D66AD" w14:textId="18C8F8D8"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Pr="00570A96">
        <w:rPr>
          <w:sz w:val="22"/>
          <w:szCs w:val="22"/>
          <w:lang w:val="en-GB"/>
        </w:rPr>
        <w:t xml:space="preserve">Phyllis </w:t>
      </w:r>
      <w:r w:rsidRPr="00570A96">
        <w:rPr>
          <w:rFonts w:asciiTheme="majorBidi" w:eastAsia="Times New Roman" w:hAnsiTheme="majorBidi" w:cstheme="majorBidi"/>
          <w:sz w:val="22"/>
          <w:szCs w:val="22"/>
          <w:lang w:val="en-GB"/>
        </w:rPr>
        <w:t xml:space="preserve">Levine &amp; Steven Nourse, ‘What Follow-Up Studies Say </w:t>
      </w:r>
      <w:proofErr w:type="gramStart"/>
      <w:r w:rsidRPr="00570A96">
        <w:rPr>
          <w:rFonts w:asciiTheme="majorBidi" w:eastAsia="Times New Roman" w:hAnsiTheme="majorBidi" w:cstheme="majorBidi"/>
          <w:sz w:val="22"/>
          <w:szCs w:val="22"/>
          <w:lang w:val="en-GB"/>
        </w:rPr>
        <w:t>About</w:t>
      </w:r>
      <w:proofErr w:type="gramEnd"/>
      <w:r w:rsidRPr="00570A96">
        <w:rPr>
          <w:rFonts w:asciiTheme="majorBidi" w:eastAsia="Times New Roman" w:hAnsiTheme="majorBidi" w:cstheme="majorBidi"/>
          <w:sz w:val="22"/>
          <w:szCs w:val="22"/>
          <w:lang w:val="en-GB"/>
        </w:rPr>
        <w:t xml:space="preserve"> Postschool Life for Young Men and Women with Learning Disabilities: A Critical Look at the Literature’ (1998) 31 </w:t>
      </w:r>
      <w:r w:rsidRPr="00B63E94">
        <w:rPr>
          <w:rFonts w:asciiTheme="majorBidi" w:eastAsia="Times New Roman" w:hAnsiTheme="majorBidi" w:cstheme="majorBidi"/>
          <w:iCs/>
          <w:sz w:val="22"/>
          <w:szCs w:val="22"/>
          <w:lang w:val="en-GB"/>
        </w:rPr>
        <w:t>Journal of Learning Disabilities 212</w:t>
      </w:r>
      <w:r w:rsidRPr="00570A96">
        <w:rPr>
          <w:rFonts w:asciiTheme="majorBidi" w:eastAsia="Times New Roman" w:hAnsiTheme="majorBidi" w:cstheme="majorBidi"/>
          <w:i/>
          <w:iCs/>
          <w:sz w:val="22"/>
          <w:szCs w:val="22"/>
          <w:lang w:val="en-GB"/>
        </w:rPr>
        <w:t>.</w:t>
      </w:r>
    </w:p>
  </w:footnote>
  <w:footnote w:id="76">
    <w:p w14:paraId="7728CBB1" w14:textId="714C94CD" w:rsidR="00A567A4" w:rsidRPr="00B63E94" w:rsidRDefault="00A567A4" w:rsidP="00093E09">
      <w:pPr>
        <w:pStyle w:val="FootnoteText"/>
        <w:jc w:val="both"/>
        <w:rPr>
          <w:rFonts w:asciiTheme="majorBidi" w:eastAsia="Times New Roman" w:hAnsiTheme="majorBidi" w:cstheme="majorBidi"/>
          <w:sz w:val="22"/>
          <w:szCs w:val="22"/>
          <w:lang w:val="en-GB"/>
        </w:rPr>
      </w:pPr>
      <w:r w:rsidRPr="00570A96">
        <w:rPr>
          <w:rStyle w:val="FootnoteReference"/>
          <w:sz w:val="22"/>
          <w:szCs w:val="22"/>
        </w:rPr>
        <w:footnoteRef/>
      </w:r>
      <w:r w:rsidRPr="00570A96">
        <w:rPr>
          <w:sz w:val="22"/>
          <w:szCs w:val="22"/>
        </w:rPr>
        <w:t xml:space="preserve"> </w:t>
      </w:r>
      <w:r w:rsidRPr="00570A96">
        <w:rPr>
          <w:sz w:val="22"/>
          <w:szCs w:val="22"/>
          <w:lang w:val="en-AU"/>
        </w:rPr>
        <w:t xml:space="preserve">See Denison </w:t>
      </w:r>
      <w:r w:rsidRPr="00570A96">
        <w:rPr>
          <w:rFonts w:asciiTheme="majorBidi" w:eastAsia="Times New Roman" w:hAnsiTheme="majorBidi" w:cstheme="majorBidi"/>
          <w:sz w:val="22"/>
          <w:szCs w:val="22"/>
          <w:lang w:val="en-GB"/>
        </w:rPr>
        <w:t xml:space="preserve">Jayasooria, Bathmavathi Krishnan &amp; Godfrey Ooi, ‘Disabled People in a Newly Industrialising Economy: Opportunities and Challenges in Malaysia’ (1997) 12 </w:t>
      </w:r>
      <w:r w:rsidRPr="00B63E94">
        <w:rPr>
          <w:rFonts w:asciiTheme="majorBidi" w:eastAsia="Times New Roman" w:hAnsiTheme="majorBidi" w:cstheme="majorBidi"/>
          <w:iCs/>
          <w:sz w:val="22"/>
          <w:szCs w:val="22"/>
          <w:lang w:val="en-GB"/>
        </w:rPr>
        <w:t>Disability &amp; Society 45</w:t>
      </w:r>
      <w:r w:rsidRPr="00570A96">
        <w:rPr>
          <w:rFonts w:asciiTheme="majorBidi" w:eastAsia="Times New Roman" w:hAnsiTheme="majorBidi" w:cstheme="majorBidi"/>
          <w:iCs/>
          <w:sz w:val="22"/>
          <w:szCs w:val="22"/>
          <w:lang w:val="en-GB"/>
        </w:rPr>
        <w:t>5;</w:t>
      </w:r>
      <w:r w:rsidRPr="00570A96">
        <w:rPr>
          <w:rFonts w:asciiTheme="majorBidi" w:eastAsia="Times New Roman" w:hAnsiTheme="majorBidi" w:cstheme="majorBidi"/>
          <w:sz w:val="22"/>
          <w:szCs w:val="22"/>
          <w:lang w:val="en-GB"/>
        </w:rPr>
        <w:t xml:space="preserve"> Cathy Lysack, ‘Modernity, Postmodernity and Disability in Developing Countries’ 1997 20 </w:t>
      </w:r>
      <w:r w:rsidRPr="00B63E94">
        <w:rPr>
          <w:rFonts w:asciiTheme="majorBidi" w:eastAsia="Times New Roman" w:hAnsiTheme="majorBidi" w:cstheme="majorBidi"/>
          <w:iCs/>
          <w:sz w:val="22"/>
          <w:szCs w:val="22"/>
          <w:lang w:val="en-GB"/>
        </w:rPr>
        <w:t>International Journal of Rehabilitation Research 121;</w:t>
      </w:r>
      <w:r w:rsidRPr="00570A96">
        <w:rPr>
          <w:rFonts w:asciiTheme="majorBidi" w:eastAsia="Times New Roman" w:hAnsiTheme="majorBidi" w:cstheme="majorBidi"/>
          <w:sz w:val="22"/>
          <w:szCs w:val="22"/>
          <w:lang w:val="en-GB"/>
        </w:rPr>
        <w:t xml:space="preserve"> Colins Barnes &amp; Alison Sheldon, ‘Disability, Politics </w:t>
      </w:r>
      <w:proofErr w:type="gramStart"/>
      <w:r w:rsidRPr="00570A96">
        <w:rPr>
          <w:rFonts w:asciiTheme="majorBidi" w:eastAsia="Times New Roman" w:hAnsiTheme="majorBidi" w:cstheme="majorBidi"/>
          <w:sz w:val="22"/>
          <w:szCs w:val="22"/>
          <w:lang w:val="en-GB"/>
        </w:rPr>
        <w:t>And</w:t>
      </w:r>
      <w:proofErr w:type="gramEnd"/>
      <w:r w:rsidRPr="00570A96">
        <w:rPr>
          <w:rFonts w:asciiTheme="majorBidi" w:eastAsia="Times New Roman" w:hAnsiTheme="majorBidi" w:cstheme="majorBidi"/>
          <w:sz w:val="22"/>
          <w:szCs w:val="22"/>
          <w:lang w:val="en-GB"/>
        </w:rPr>
        <w:t xml:space="preserve"> Poverty in a Majority World Context’ (2010) 25 </w:t>
      </w:r>
      <w:r w:rsidRPr="00B63E94">
        <w:rPr>
          <w:rFonts w:asciiTheme="majorBidi" w:eastAsia="Times New Roman" w:hAnsiTheme="majorBidi" w:cstheme="majorBidi"/>
          <w:iCs/>
          <w:sz w:val="22"/>
          <w:szCs w:val="22"/>
          <w:lang w:val="en-GB"/>
        </w:rPr>
        <w:t>Disability &amp; Society</w:t>
      </w:r>
      <w:r w:rsidRPr="00570A96">
        <w:rPr>
          <w:rFonts w:asciiTheme="majorBidi" w:eastAsia="Times New Roman" w:hAnsiTheme="majorBidi" w:cstheme="majorBidi"/>
          <w:sz w:val="22"/>
          <w:szCs w:val="22"/>
          <w:lang w:val="en-GB"/>
        </w:rPr>
        <w:t xml:space="preserve"> 771.</w:t>
      </w:r>
    </w:p>
  </w:footnote>
  <w:footnote w:id="77">
    <w:p w14:paraId="09D790FE" w14:textId="6AB05A07" w:rsidR="001810F9" w:rsidRPr="00903E9B" w:rsidRDefault="001810F9">
      <w:pPr>
        <w:pStyle w:val="FootnoteText"/>
        <w:rPr>
          <w:lang w:val="en-GB"/>
        </w:rPr>
      </w:pPr>
      <w:r>
        <w:rPr>
          <w:rStyle w:val="FootnoteReference"/>
        </w:rPr>
        <w:footnoteRef/>
      </w:r>
      <w:r>
        <w:t xml:space="preserve"> </w:t>
      </w:r>
      <w:r>
        <w:rPr>
          <w:lang w:val="en-GB"/>
        </w:rPr>
        <w:t xml:space="preserve">OECD </w:t>
      </w:r>
      <w:r w:rsidR="00A669A0">
        <w:rPr>
          <w:lang w:val="en-GB"/>
        </w:rPr>
        <w:t>(n 20)</w:t>
      </w:r>
      <w:r>
        <w:rPr>
          <w:lang w:val="en-GB"/>
        </w:rPr>
        <w:t>;</w:t>
      </w:r>
      <w:r w:rsidR="00A669A0" w:rsidRPr="00A669A0">
        <w:t xml:space="preserve"> </w:t>
      </w:r>
      <w:r w:rsidR="00A669A0" w:rsidRPr="00A669A0">
        <w:rPr>
          <w:lang w:val="en-GB"/>
        </w:rPr>
        <w:t>Chon-Kyun Kim</w:t>
      </w:r>
      <w:r w:rsidR="00A669A0">
        <w:rPr>
          <w:lang w:val="en-GB"/>
        </w:rPr>
        <w:t xml:space="preserve"> ‘</w:t>
      </w:r>
      <w:r w:rsidR="00A669A0" w:rsidRPr="00A669A0">
        <w:rPr>
          <w:lang w:val="en-GB"/>
        </w:rPr>
        <w:t>Comparative perspectives on disability employment policy</w:t>
      </w:r>
      <w:r w:rsidR="00A669A0">
        <w:rPr>
          <w:lang w:val="en-GB"/>
        </w:rPr>
        <w:t xml:space="preserve">’ </w:t>
      </w:r>
      <w:r w:rsidR="00A669A0" w:rsidRPr="00A669A0">
        <w:rPr>
          <w:lang w:val="en-GB"/>
        </w:rPr>
        <w:t xml:space="preserve">International Review of Public Administration </w:t>
      </w:r>
      <w:proofErr w:type="gramStart"/>
      <w:r w:rsidR="00A669A0" w:rsidRPr="00A669A0">
        <w:rPr>
          <w:lang w:val="en-GB"/>
        </w:rPr>
        <w:t>15</w:t>
      </w:r>
      <w:r w:rsidR="00A669A0">
        <w:rPr>
          <w:lang w:val="en-GB"/>
        </w:rPr>
        <w:t xml:space="preserve"> </w:t>
      </w:r>
      <w:r w:rsidR="00A669A0" w:rsidRPr="00A669A0">
        <w:rPr>
          <w:lang w:val="en-GB"/>
        </w:rPr>
        <w:t xml:space="preserve"> (</w:t>
      </w:r>
      <w:proofErr w:type="gramEnd"/>
      <w:r w:rsidR="00A669A0" w:rsidRPr="00A669A0">
        <w:rPr>
          <w:lang w:val="en-GB"/>
        </w:rPr>
        <w:t>2010) 27.</w:t>
      </w:r>
      <w:r>
        <w:rPr>
          <w:lang w:val="en-GB"/>
        </w:rPr>
        <w:t xml:space="preserve"> </w:t>
      </w:r>
    </w:p>
  </w:footnote>
  <w:footnote w:id="78">
    <w:p w14:paraId="731B4520" w14:textId="51B6DC5E" w:rsidR="00A567A4" w:rsidRPr="00570A96" w:rsidRDefault="00A567A4" w:rsidP="00093E09">
      <w:pPr>
        <w:pStyle w:val="FootnoteText"/>
        <w:jc w:val="both"/>
        <w:rPr>
          <w:sz w:val="22"/>
          <w:szCs w:val="22"/>
          <w:lang w:val="en-AU"/>
        </w:rPr>
      </w:pPr>
      <w:r w:rsidRPr="00570A96">
        <w:rPr>
          <w:rStyle w:val="FootnoteReference"/>
          <w:sz w:val="22"/>
          <w:szCs w:val="22"/>
        </w:rPr>
        <w:footnoteRef/>
      </w:r>
      <w:r w:rsidRPr="00570A96">
        <w:rPr>
          <w:sz w:val="22"/>
          <w:szCs w:val="22"/>
        </w:rPr>
        <w:t xml:space="preserve"> </w:t>
      </w:r>
      <w:r w:rsidRPr="00570A96">
        <w:rPr>
          <w:sz w:val="22"/>
          <w:szCs w:val="22"/>
          <w:lang w:val="en-AU"/>
        </w:rPr>
        <w:t xml:space="preserve">See </w:t>
      </w:r>
      <w:r w:rsidRPr="00570A96">
        <w:rPr>
          <w:sz w:val="22"/>
          <w:szCs w:val="22"/>
        </w:rPr>
        <w:t xml:space="preserve">Lisa Waddington, </w:t>
      </w:r>
      <w:r w:rsidRPr="00570A96">
        <w:rPr>
          <w:spacing w:val="-2"/>
          <w:sz w:val="22"/>
          <w:szCs w:val="22"/>
        </w:rPr>
        <w:t>‘Legislating to Employ People with Disabilities: The European and American Way’ (1994</w:t>
      </w:r>
      <w:proofErr w:type="gramStart"/>
      <w:r w:rsidRPr="00570A96">
        <w:rPr>
          <w:spacing w:val="-2"/>
          <w:sz w:val="22"/>
          <w:szCs w:val="22"/>
        </w:rPr>
        <w:t>)  1</w:t>
      </w:r>
      <w:proofErr w:type="gramEnd"/>
      <w:r w:rsidRPr="00570A96">
        <w:rPr>
          <w:i/>
          <w:spacing w:val="-2"/>
          <w:sz w:val="22"/>
          <w:szCs w:val="22"/>
        </w:rPr>
        <w:t xml:space="preserve"> </w:t>
      </w:r>
      <w:r w:rsidRPr="00B63E94">
        <w:rPr>
          <w:spacing w:val="-2"/>
          <w:sz w:val="22"/>
          <w:szCs w:val="22"/>
        </w:rPr>
        <w:t>Maastricht Journal of European and Comparative Law</w:t>
      </w:r>
      <w:r w:rsidRPr="00570A96">
        <w:rPr>
          <w:spacing w:val="-2"/>
          <w:sz w:val="22"/>
          <w:szCs w:val="22"/>
        </w:rPr>
        <w:t xml:space="preserve"> 367; and </w:t>
      </w:r>
      <w:r w:rsidRPr="00570A96">
        <w:rPr>
          <w:sz w:val="22"/>
          <w:szCs w:val="22"/>
        </w:rPr>
        <w:t xml:space="preserve">Lisa Waddington, </w:t>
      </w:r>
      <w:r w:rsidRPr="00570A96">
        <w:rPr>
          <w:spacing w:val="-2"/>
          <w:sz w:val="22"/>
          <w:szCs w:val="22"/>
        </w:rPr>
        <w:t xml:space="preserve">‘Reassessing the Employment of People with Disabilities in Europe: from Quotas to Anti-Discrimination Laws’ (1996) 18 </w:t>
      </w:r>
      <w:r w:rsidRPr="00B63E94">
        <w:rPr>
          <w:spacing w:val="-2"/>
          <w:sz w:val="22"/>
          <w:szCs w:val="22"/>
        </w:rPr>
        <w:t>Comparative Labor Law Journal</w:t>
      </w:r>
      <w:r w:rsidRPr="00570A96">
        <w:rPr>
          <w:spacing w:val="-2"/>
          <w:sz w:val="22"/>
          <w:szCs w:val="22"/>
        </w:rPr>
        <w:t xml:space="preserve"> 62.</w:t>
      </w:r>
    </w:p>
  </w:footnote>
  <w:footnote w:id="79">
    <w:p w14:paraId="5091FFFB" w14:textId="12121AAC" w:rsidR="00136601" w:rsidRPr="00903E9B" w:rsidRDefault="00136601">
      <w:pPr>
        <w:pStyle w:val="FootnoteText"/>
        <w:rPr>
          <w:lang w:val="en-GB"/>
        </w:rPr>
      </w:pPr>
      <w:r>
        <w:rPr>
          <w:rStyle w:val="FootnoteReference"/>
        </w:rPr>
        <w:footnoteRef/>
      </w:r>
      <w:r>
        <w:t xml:space="preserve"> </w:t>
      </w:r>
      <w:r w:rsidR="00BB2B7B" w:rsidRPr="00BB2B7B">
        <w:rPr>
          <w:lang w:val="en-GB"/>
        </w:rPr>
        <w:t xml:space="preserve">APPLICA, CESEP and European Centre </w:t>
      </w:r>
      <w:r w:rsidR="00BB2B7B">
        <w:rPr>
          <w:lang w:val="en-GB"/>
        </w:rPr>
        <w:t xml:space="preserve">(n 7); </w:t>
      </w:r>
      <w:r>
        <w:rPr>
          <w:lang w:val="en-GB"/>
        </w:rPr>
        <w:t>Kim</w:t>
      </w:r>
      <w:r w:rsidR="00A669A0">
        <w:rPr>
          <w:lang w:val="en-GB"/>
        </w:rPr>
        <w:t xml:space="preserve"> (n 77)</w:t>
      </w:r>
      <w:r w:rsidR="00903E9B">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650A6A"/>
    <w:multiLevelType w:val="multilevel"/>
    <w:tmpl w:val="48F2CE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4"/>
  <w:doNotDisplayPageBoundaries/>
  <w:hideSpellingErrors/>
  <w:hideGrammaticalErrors/>
  <w:proofState w:grammar="clean"/>
  <w:trackRevisions/>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BC2"/>
    <w:rsid w:val="000141BA"/>
    <w:rsid w:val="0002188E"/>
    <w:rsid w:val="00036BBE"/>
    <w:rsid w:val="00043EB4"/>
    <w:rsid w:val="00044605"/>
    <w:rsid w:val="00050813"/>
    <w:rsid w:val="0006083E"/>
    <w:rsid w:val="000632B2"/>
    <w:rsid w:val="00063F05"/>
    <w:rsid w:val="00072AD7"/>
    <w:rsid w:val="000837E1"/>
    <w:rsid w:val="00092C37"/>
    <w:rsid w:val="00093E09"/>
    <w:rsid w:val="000B1E1C"/>
    <w:rsid w:val="000C26B9"/>
    <w:rsid w:val="000C58E9"/>
    <w:rsid w:val="000D0F11"/>
    <w:rsid w:val="000D239E"/>
    <w:rsid w:val="000D452F"/>
    <w:rsid w:val="000E4D24"/>
    <w:rsid w:val="000F6787"/>
    <w:rsid w:val="00103F7B"/>
    <w:rsid w:val="00127EF2"/>
    <w:rsid w:val="00136601"/>
    <w:rsid w:val="001421CE"/>
    <w:rsid w:val="001664C3"/>
    <w:rsid w:val="00171D41"/>
    <w:rsid w:val="001810F9"/>
    <w:rsid w:val="00182A36"/>
    <w:rsid w:val="001A02EA"/>
    <w:rsid w:val="001A278C"/>
    <w:rsid w:val="001B330F"/>
    <w:rsid w:val="001C0B57"/>
    <w:rsid w:val="001D342B"/>
    <w:rsid w:val="001F464D"/>
    <w:rsid w:val="00222F8B"/>
    <w:rsid w:val="0023509B"/>
    <w:rsid w:val="00235D3F"/>
    <w:rsid w:val="0026461C"/>
    <w:rsid w:val="00283025"/>
    <w:rsid w:val="00283D6C"/>
    <w:rsid w:val="002841F0"/>
    <w:rsid w:val="00287DA0"/>
    <w:rsid w:val="002A14A7"/>
    <w:rsid w:val="002E1BC2"/>
    <w:rsid w:val="002F1B0C"/>
    <w:rsid w:val="00316AAD"/>
    <w:rsid w:val="003209FE"/>
    <w:rsid w:val="0036373A"/>
    <w:rsid w:val="00374078"/>
    <w:rsid w:val="0039218A"/>
    <w:rsid w:val="003A4ADB"/>
    <w:rsid w:val="003B1D86"/>
    <w:rsid w:val="003B1E54"/>
    <w:rsid w:val="003B7366"/>
    <w:rsid w:val="003C3A1A"/>
    <w:rsid w:val="00403394"/>
    <w:rsid w:val="004138A2"/>
    <w:rsid w:val="00436AC6"/>
    <w:rsid w:val="00452A8C"/>
    <w:rsid w:val="0046253E"/>
    <w:rsid w:val="00463BCD"/>
    <w:rsid w:val="004650FE"/>
    <w:rsid w:val="00465742"/>
    <w:rsid w:val="00481527"/>
    <w:rsid w:val="00496641"/>
    <w:rsid w:val="004978CA"/>
    <w:rsid w:val="00497C05"/>
    <w:rsid w:val="004B5AEB"/>
    <w:rsid w:val="004E33DE"/>
    <w:rsid w:val="004F10F7"/>
    <w:rsid w:val="00513657"/>
    <w:rsid w:val="005159DD"/>
    <w:rsid w:val="00516C3B"/>
    <w:rsid w:val="00524D5E"/>
    <w:rsid w:val="005424DA"/>
    <w:rsid w:val="005578EC"/>
    <w:rsid w:val="00561D31"/>
    <w:rsid w:val="00570A96"/>
    <w:rsid w:val="00570BE4"/>
    <w:rsid w:val="005A3A11"/>
    <w:rsid w:val="005B1E67"/>
    <w:rsid w:val="005C2BE1"/>
    <w:rsid w:val="005D0C3A"/>
    <w:rsid w:val="005D3860"/>
    <w:rsid w:val="005D4B7A"/>
    <w:rsid w:val="005F3CF7"/>
    <w:rsid w:val="00602856"/>
    <w:rsid w:val="00624442"/>
    <w:rsid w:val="0063532B"/>
    <w:rsid w:val="00647770"/>
    <w:rsid w:val="00654F3B"/>
    <w:rsid w:val="00664BF4"/>
    <w:rsid w:val="00683DB5"/>
    <w:rsid w:val="00690AA5"/>
    <w:rsid w:val="0069476F"/>
    <w:rsid w:val="006B0B4C"/>
    <w:rsid w:val="006D71C1"/>
    <w:rsid w:val="006E1B0A"/>
    <w:rsid w:val="006E4804"/>
    <w:rsid w:val="006F18B7"/>
    <w:rsid w:val="00702227"/>
    <w:rsid w:val="00707822"/>
    <w:rsid w:val="00720FA7"/>
    <w:rsid w:val="00726908"/>
    <w:rsid w:val="00767F58"/>
    <w:rsid w:val="00777E79"/>
    <w:rsid w:val="00781A61"/>
    <w:rsid w:val="00781CBF"/>
    <w:rsid w:val="00782415"/>
    <w:rsid w:val="00782715"/>
    <w:rsid w:val="0079301E"/>
    <w:rsid w:val="007937CF"/>
    <w:rsid w:val="00794375"/>
    <w:rsid w:val="007A0EA9"/>
    <w:rsid w:val="007A474C"/>
    <w:rsid w:val="007A768D"/>
    <w:rsid w:val="007B606E"/>
    <w:rsid w:val="007B6A91"/>
    <w:rsid w:val="007C0CD1"/>
    <w:rsid w:val="00806436"/>
    <w:rsid w:val="0085554D"/>
    <w:rsid w:val="00866523"/>
    <w:rsid w:val="0087137A"/>
    <w:rsid w:val="00872612"/>
    <w:rsid w:val="00873B26"/>
    <w:rsid w:val="00875054"/>
    <w:rsid w:val="00882C19"/>
    <w:rsid w:val="0089011D"/>
    <w:rsid w:val="008A3AB3"/>
    <w:rsid w:val="008A6259"/>
    <w:rsid w:val="008B3604"/>
    <w:rsid w:val="008B5F54"/>
    <w:rsid w:val="008B6ACA"/>
    <w:rsid w:val="008C16C0"/>
    <w:rsid w:val="008C2232"/>
    <w:rsid w:val="008C4831"/>
    <w:rsid w:val="008F034A"/>
    <w:rsid w:val="008F5667"/>
    <w:rsid w:val="00903E9B"/>
    <w:rsid w:val="00910A23"/>
    <w:rsid w:val="00915A8F"/>
    <w:rsid w:val="00925C86"/>
    <w:rsid w:val="00926B96"/>
    <w:rsid w:val="00944094"/>
    <w:rsid w:val="009B1948"/>
    <w:rsid w:val="009C5DCA"/>
    <w:rsid w:val="009D0182"/>
    <w:rsid w:val="009E5287"/>
    <w:rsid w:val="009E5CFC"/>
    <w:rsid w:val="009F43EB"/>
    <w:rsid w:val="009F4AFD"/>
    <w:rsid w:val="00A02BBC"/>
    <w:rsid w:val="00A03406"/>
    <w:rsid w:val="00A13600"/>
    <w:rsid w:val="00A2390C"/>
    <w:rsid w:val="00A567A4"/>
    <w:rsid w:val="00A64ADC"/>
    <w:rsid w:val="00A669A0"/>
    <w:rsid w:val="00A7485C"/>
    <w:rsid w:val="00A82809"/>
    <w:rsid w:val="00AB1E20"/>
    <w:rsid w:val="00AD19DA"/>
    <w:rsid w:val="00AD500B"/>
    <w:rsid w:val="00AE22FB"/>
    <w:rsid w:val="00B11CA0"/>
    <w:rsid w:val="00B3096D"/>
    <w:rsid w:val="00B404A5"/>
    <w:rsid w:val="00B47C45"/>
    <w:rsid w:val="00B63E94"/>
    <w:rsid w:val="00B81539"/>
    <w:rsid w:val="00BA04C3"/>
    <w:rsid w:val="00BB2B7B"/>
    <w:rsid w:val="00BB6098"/>
    <w:rsid w:val="00BC4DB8"/>
    <w:rsid w:val="00BC57A0"/>
    <w:rsid w:val="00BC781B"/>
    <w:rsid w:val="00BD3824"/>
    <w:rsid w:val="00BE12BC"/>
    <w:rsid w:val="00BF3E52"/>
    <w:rsid w:val="00C06578"/>
    <w:rsid w:val="00C14973"/>
    <w:rsid w:val="00C2028C"/>
    <w:rsid w:val="00C270CA"/>
    <w:rsid w:val="00C4118C"/>
    <w:rsid w:val="00C518B3"/>
    <w:rsid w:val="00C57394"/>
    <w:rsid w:val="00C639CE"/>
    <w:rsid w:val="00C715E9"/>
    <w:rsid w:val="00C74C15"/>
    <w:rsid w:val="00C91D28"/>
    <w:rsid w:val="00C92C6C"/>
    <w:rsid w:val="00C94EAE"/>
    <w:rsid w:val="00CB0AF4"/>
    <w:rsid w:val="00CB2227"/>
    <w:rsid w:val="00CD07F9"/>
    <w:rsid w:val="00CE349A"/>
    <w:rsid w:val="00CE74BB"/>
    <w:rsid w:val="00CF7E78"/>
    <w:rsid w:val="00D060A7"/>
    <w:rsid w:val="00D1534C"/>
    <w:rsid w:val="00D23315"/>
    <w:rsid w:val="00D349B9"/>
    <w:rsid w:val="00D409EB"/>
    <w:rsid w:val="00D712D7"/>
    <w:rsid w:val="00D74813"/>
    <w:rsid w:val="00D75F86"/>
    <w:rsid w:val="00D81116"/>
    <w:rsid w:val="00D859B1"/>
    <w:rsid w:val="00D9083C"/>
    <w:rsid w:val="00D91080"/>
    <w:rsid w:val="00DA0594"/>
    <w:rsid w:val="00DA66B3"/>
    <w:rsid w:val="00DA747E"/>
    <w:rsid w:val="00DC18E6"/>
    <w:rsid w:val="00DC41D7"/>
    <w:rsid w:val="00DC6AFA"/>
    <w:rsid w:val="00DD02BA"/>
    <w:rsid w:val="00DD55EC"/>
    <w:rsid w:val="00DE5FDC"/>
    <w:rsid w:val="00DE6586"/>
    <w:rsid w:val="00DE74D9"/>
    <w:rsid w:val="00E1391D"/>
    <w:rsid w:val="00E14762"/>
    <w:rsid w:val="00E41BA0"/>
    <w:rsid w:val="00E47656"/>
    <w:rsid w:val="00E523F8"/>
    <w:rsid w:val="00E55011"/>
    <w:rsid w:val="00E56A3C"/>
    <w:rsid w:val="00E7217F"/>
    <w:rsid w:val="00E834B2"/>
    <w:rsid w:val="00E865B7"/>
    <w:rsid w:val="00E9260F"/>
    <w:rsid w:val="00EA31C1"/>
    <w:rsid w:val="00EA4C93"/>
    <w:rsid w:val="00EC566E"/>
    <w:rsid w:val="00ED2038"/>
    <w:rsid w:val="00EE07FB"/>
    <w:rsid w:val="00EE34E6"/>
    <w:rsid w:val="00EE5620"/>
    <w:rsid w:val="00EE6F87"/>
    <w:rsid w:val="00EF190F"/>
    <w:rsid w:val="00EF2470"/>
    <w:rsid w:val="00EF278F"/>
    <w:rsid w:val="00F0692D"/>
    <w:rsid w:val="00F17184"/>
    <w:rsid w:val="00F17381"/>
    <w:rsid w:val="00F22086"/>
    <w:rsid w:val="00F35DF1"/>
    <w:rsid w:val="00F44BE9"/>
    <w:rsid w:val="00F6731B"/>
    <w:rsid w:val="00F743DA"/>
    <w:rsid w:val="00F80A0D"/>
    <w:rsid w:val="00F84994"/>
    <w:rsid w:val="00FB0B0E"/>
    <w:rsid w:val="00FB2F96"/>
    <w:rsid w:val="00FF6417"/>
    <w:rsid w:val="00FF654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ECA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D6C"/>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283D6C"/>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496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6C"/>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283D6C"/>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49664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96641"/>
    <w:rPr>
      <w:sz w:val="16"/>
      <w:szCs w:val="16"/>
    </w:rPr>
  </w:style>
  <w:style w:type="paragraph" w:styleId="CommentText">
    <w:name w:val="annotation text"/>
    <w:basedOn w:val="Normal"/>
    <w:link w:val="CommentTextChar"/>
    <w:uiPriority w:val="99"/>
    <w:semiHidden/>
    <w:unhideWhenUsed/>
    <w:rsid w:val="00496641"/>
    <w:pPr>
      <w:spacing w:line="240" w:lineRule="auto"/>
    </w:pPr>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uiPriority w:val="99"/>
    <w:semiHidden/>
    <w:rsid w:val="00496641"/>
    <w:rPr>
      <w:rFonts w:ascii="Times New Roman" w:eastAsia="Times New Roman" w:hAnsi="Times New Roman"/>
      <w:sz w:val="20"/>
      <w:szCs w:val="20"/>
      <w:lang w:val="en-US" w:eastAsia="en-US"/>
    </w:rPr>
  </w:style>
  <w:style w:type="paragraph" w:styleId="BalloonText">
    <w:name w:val="Balloon Text"/>
    <w:basedOn w:val="Normal"/>
    <w:link w:val="BalloonTextChar"/>
    <w:uiPriority w:val="99"/>
    <w:semiHidden/>
    <w:unhideWhenUsed/>
    <w:rsid w:val="0049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41"/>
    <w:rPr>
      <w:rFonts w:ascii="Tahoma" w:hAnsi="Tahoma" w:cs="Tahoma"/>
      <w:sz w:val="16"/>
      <w:szCs w:val="16"/>
    </w:rPr>
  </w:style>
  <w:style w:type="paragraph" w:styleId="Quote">
    <w:name w:val="Quote"/>
    <w:basedOn w:val="Normal"/>
    <w:next w:val="Normal"/>
    <w:link w:val="QuoteChar"/>
    <w:uiPriority w:val="29"/>
    <w:qFormat/>
    <w:rsid w:val="005D4B7A"/>
    <w:pPr>
      <w:ind w:left="284" w:right="284"/>
    </w:pPr>
    <w:rPr>
      <w:iCs/>
      <w:color w:val="000000" w:themeColor="text1"/>
    </w:rPr>
  </w:style>
  <w:style w:type="character" w:customStyle="1" w:styleId="QuoteChar">
    <w:name w:val="Quote Char"/>
    <w:basedOn w:val="DefaultParagraphFont"/>
    <w:link w:val="Quote"/>
    <w:uiPriority w:val="29"/>
    <w:rsid w:val="005D4B7A"/>
    <w:rPr>
      <w:iCs/>
      <w:color w:val="000000" w:themeColor="text1"/>
    </w:rPr>
  </w:style>
  <w:style w:type="paragraph" w:styleId="IntenseQuote">
    <w:name w:val="Intense Quote"/>
    <w:basedOn w:val="Normal"/>
    <w:next w:val="Normal"/>
    <w:link w:val="IntenseQuoteChar"/>
    <w:uiPriority w:val="30"/>
    <w:qFormat/>
    <w:rsid w:val="005D4B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4B7A"/>
    <w:rPr>
      <w:b/>
      <w:bCs/>
      <w:i/>
      <w:iCs/>
      <w:color w:val="4F81BD" w:themeColor="accent1"/>
    </w:rPr>
  </w:style>
  <w:style w:type="paragraph" w:customStyle="1" w:styleId="Default">
    <w:name w:val="Default"/>
    <w:rsid w:val="00570BE4"/>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570BE4"/>
    <w:pPr>
      <w:spacing w:after="0" w:line="240" w:lineRule="auto"/>
    </w:pPr>
    <w:rPr>
      <w:rFonts w:ascii="Times New Roman" w:eastAsiaTheme="minorHAnsi" w:hAnsi="Times New Roman"/>
      <w:sz w:val="20"/>
      <w:szCs w:val="20"/>
      <w:lang w:val="en-US" w:eastAsia="en-US"/>
    </w:rPr>
  </w:style>
  <w:style w:type="character" w:customStyle="1" w:styleId="FootnoteTextChar">
    <w:name w:val="Footnote Text Char"/>
    <w:basedOn w:val="DefaultParagraphFont"/>
    <w:link w:val="FootnoteText"/>
    <w:uiPriority w:val="99"/>
    <w:rsid w:val="00570BE4"/>
    <w:rPr>
      <w:rFonts w:ascii="Times New Roman" w:eastAsiaTheme="minorHAnsi" w:hAnsi="Times New Roman"/>
      <w:sz w:val="20"/>
      <w:szCs w:val="20"/>
      <w:lang w:val="en-US" w:eastAsia="en-US"/>
    </w:rPr>
  </w:style>
  <w:style w:type="character" w:styleId="FootnoteReference">
    <w:name w:val="footnote reference"/>
    <w:basedOn w:val="DefaultParagraphFont"/>
    <w:uiPriority w:val="99"/>
    <w:semiHidden/>
    <w:unhideWhenUsed/>
    <w:rsid w:val="00570BE4"/>
    <w:rPr>
      <w:vertAlign w:val="superscript"/>
    </w:rPr>
  </w:style>
  <w:style w:type="paragraph" w:styleId="CommentSubject">
    <w:name w:val="annotation subject"/>
    <w:basedOn w:val="CommentText"/>
    <w:next w:val="CommentText"/>
    <w:link w:val="CommentSubjectChar"/>
    <w:uiPriority w:val="99"/>
    <w:semiHidden/>
    <w:unhideWhenUsed/>
    <w:rsid w:val="00C92C6C"/>
    <w:rPr>
      <w:rFonts w:asciiTheme="minorHAnsi" w:eastAsiaTheme="minorEastAsia" w:hAnsiTheme="minorHAnsi"/>
      <w:b/>
      <w:bCs/>
      <w:lang w:val="en-GB" w:eastAsia="zh-CN"/>
    </w:rPr>
  </w:style>
  <w:style w:type="character" w:customStyle="1" w:styleId="CommentSubjectChar">
    <w:name w:val="Comment Subject Char"/>
    <w:basedOn w:val="CommentTextChar"/>
    <w:link w:val="CommentSubject"/>
    <w:uiPriority w:val="99"/>
    <w:semiHidden/>
    <w:rsid w:val="00C92C6C"/>
    <w:rPr>
      <w:rFonts w:ascii="Times New Roman" w:eastAsia="Times New Roman" w:hAnsi="Times New Roman"/>
      <w:b/>
      <w:bCs/>
      <w:sz w:val="20"/>
      <w:szCs w:val="20"/>
      <w:lang w:val="en-US" w:eastAsia="en-US"/>
    </w:rPr>
  </w:style>
  <w:style w:type="paragraph" w:styleId="BodyText">
    <w:name w:val="Body Text"/>
    <w:basedOn w:val="Normal"/>
    <w:link w:val="BodyTextChar"/>
    <w:uiPriority w:val="99"/>
    <w:unhideWhenUsed/>
    <w:rsid w:val="00516C3B"/>
    <w:pPr>
      <w:spacing w:before="120" w:after="120" w:line="360" w:lineRule="auto"/>
    </w:pPr>
    <w:rPr>
      <w:rFonts w:ascii="Cambria" w:eastAsia="MS Mincho" w:hAnsi="Cambria" w:cs="Times New Roman"/>
      <w:sz w:val="24"/>
      <w:szCs w:val="24"/>
      <w:lang w:eastAsia="en-US"/>
    </w:rPr>
  </w:style>
  <w:style w:type="character" w:customStyle="1" w:styleId="BodyTextChar">
    <w:name w:val="Body Text Char"/>
    <w:basedOn w:val="DefaultParagraphFont"/>
    <w:link w:val="BodyText"/>
    <w:uiPriority w:val="99"/>
    <w:rsid w:val="00516C3B"/>
    <w:rPr>
      <w:rFonts w:ascii="Cambria" w:eastAsia="MS Mincho" w:hAnsi="Cambria" w:cs="Times New Roman"/>
      <w:sz w:val="24"/>
      <w:szCs w:val="24"/>
      <w:lang w:eastAsia="en-US"/>
    </w:rPr>
  </w:style>
  <w:style w:type="paragraph" w:styleId="Header">
    <w:name w:val="header"/>
    <w:basedOn w:val="Normal"/>
    <w:link w:val="HeaderChar"/>
    <w:uiPriority w:val="99"/>
    <w:unhideWhenUsed/>
    <w:rsid w:val="0022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8B"/>
  </w:style>
  <w:style w:type="paragraph" w:styleId="Footer">
    <w:name w:val="footer"/>
    <w:basedOn w:val="Normal"/>
    <w:link w:val="FooterChar"/>
    <w:uiPriority w:val="99"/>
    <w:unhideWhenUsed/>
    <w:rsid w:val="0022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8B"/>
  </w:style>
  <w:style w:type="character" w:styleId="Hyperlink">
    <w:name w:val="Hyperlink"/>
    <w:basedOn w:val="DefaultParagraphFont"/>
    <w:uiPriority w:val="99"/>
    <w:unhideWhenUsed/>
    <w:rsid w:val="00BF3E52"/>
    <w:rPr>
      <w:color w:val="0000FF" w:themeColor="hyperlink"/>
      <w:u w:val="single"/>
    </w:rPr>
  </w:style>
  <w:style w:type="paragraph" w:styleId="NormalWeb">
    <w:name w:val="Normal (Web)"/>
    <w:basedOn w:val="Normal"/>
    <w:unhideWhenUsed/>
    <w:rsid w:val="00CE349A"/>
    <w:pPr>
      <w:spacing w:before="120" w:after="0"/>
    </w:pPr>
    <w:rPr>
      <w:rFonts w:ascii="Arial" w:eastAsiaTheme="minorHAnsi" w:hAnsi="Arial" w:cs="Times New Roman"/>
      <w:sz w:val="24"/>
      <w:szCs w:val="24"/>
      <w:lang w:eastAsia="en-US"/>
    </w:rPr>
  </w:style>
  <w:style w:type="character" w:styleId="FollowedHyperlink">
    <w:name w:val="FollowedHyperlink"/>
    <w:basedOn w:val="DefaultParagraphFont"/>
    <w:uiPriority w:val="99"/>
    <w:semiHidden/>
    <w:unhideWhenUsed/>
    <w:rsid w:val="00CE349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83D6C"/>
    <w:pPr>
      <w:keepNext/>
      <w:keepLines/>
      <w:spacing w:before="480" w:after="0"/>
      <w:outlineLvl w:val="0"/>
    </w:pPr>
    <w:rPr>
      <w:rFonts w:ascii="Arial" w:eastAsiaTheme="majorEastAsia" w:hAnsi="Arial" w:cstheme="majorBidi"/>
      <w:b/>
      <w:bCs/>
      <w:sz w:val="36"/>
      <w:szCs w:val="28"/>
    </w:rPr>
  </w:style>
  <w:style w:type="paragraph" w:styleId="Heading2">
    <w:name w:val="heading 2"/>
    <w:basedOn w:val="Normal"/>
    <w:next w:val="Normal"/>
    <w:link w:val="Heading2Char"/>
    <w:uiPriority w:val="9"/>
    <w:unhideWhenUsed/>
    <w:qFormat/>
    <w:rsid w:val="00283D6C"/>
    <w:pPr>
      <w:keepNext/>
      <w:keepLines/>
      <w:spacing w:before="200" w:after="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
    <w:unhideWhenUsed/>
    <w:qFormat/>
    <w:rsid w:val="0049664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D6C"/>
    <w:rPr>
      <w:rFonts w:ascii="Arial" w:eastAsiaTheme="majorEastAsia" w:hAnsi="Arial" w:cstheme="majorBidi"/>
      <w:b/>
      <w:bCs/>
      <w:sz w:val="36"/>
      <w:szCs w:val="28"/>
    </w:rPr>
  </w:style>
  <w:style w:type="character" w:customStyle="1" w:styleId="Heading2Char">
    <w:name w:val="Heading 2 Char"/>
    <w:basedOn w:val="DefaultParagraphFont"/>
    <w:link w:val="Heading2"/>
    <w:uiPriority w:val="9"/>
    <w:rsid w:val="00283D6C"/>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496641"/>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496641"/>
    <w:rPr>
      <w:sz w:val="16"/>
      <w:szCs w:val="16"/>
    </w:rPr>
  </w:style>
  <w:style w:type="paragraph" w:styleId="CommentText">
    <w:name w:val="annotation text"/>
    <w:basedOn w:val="Normal"/>
    <w:link w:val="CommentTextChar"/>
    <w:uiPriority w:val="99"/>
    <w:semiHidden/>
    <w:unhideWhenUsed/>
    <w:rsid w:val="00496641"/>
    <w:pPr>
      <w:spacing w:line="240" w:lineRule="auto"/>
    </w:pPr>
    <w:rPr>
      <w:rFonts w:ascii="Times New Roman" w:eastAsia="Times New Roman" w:hAnsi="Times New Roman"/>
      <w:sz w:val="20"/>
      <w:szCs w:val="20"/>
      <w:lang w:val="en-US" w:eastAsia="en-US"/>
    </w:rPr>
  </w:style>
  <w:style w:type="character" w:customStyle="1" w:styleId="CommentTextChar">
    <w:name w:val="Comment Text Char"/>
    <w:basedOn w:val="DefaultParagraphFont"/>
    <w:link w:val="CommentText"/>
    <w:uiPriority w:val="99"/>
    <w:semiHidden/>
    <w:rsid w:val="00496641"/>
    <w:rPr>
      <w:rFonts w:ascii="Times New Roman" w:eastAsia="Times New Roman" w:hAnsi="Times New Roman"/>
      <w:sz w:val="20"/>
      <w:szCs w:val="20"/>
      <w:lang w:val="en-US" w:eastAsia="en-US"/>
    </w:rPr>
  </w:style>
  <w:style w:type="paragraph" w:styleId="BalloonText">
    <w:name w:val="Balloon Text"/>
    <w:basedOn w:val="Normal"/>
    <w:link w:val="BalloonTextChar"/>
    <w:uiPriority w:val="99"/>
    <w:semiHidden/>
    <w:unhideWhenUsed/>
    <w:rsid w:val="004966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641"/>
    <w:rPr>
      <w:rFonts w:ascii="Tahoma" w:hAnsi="Tahoma" w:cs="Tahoma"/>
      <w:sz w:val="16"/>
      <w:szCs w:val="16"/>
    </w:rPr>
  </w:style>
  <w:style w:type="paragraph" w:styleId="Quote">
    <w:name w:val="Quote"/>
    <w:basedOn w:val="Normal"/>
    <w:next w:val="Normal"/>
    <w:link w:val="QuoteChar"/>
    <w:uiPriority w:val="29"/>
    <w:qFormat/>
    <w:rsid w:val="005D4B7A"/>
    <w:pPr>
      <w:ind w:left="284" w:right="284"/>
    </w:pPr>
    <w:rPr>
      <w:iCs/>
      <w:color w:val="000000" w:themeColor="text1"/>
    </w:rPr>
  </w:style>
  <w:style w:type="character" w:customStyle="1" w:styleId="QuoteChar">
    <w:name w:val="Quote Char"/>
    <w:basedOn w:val="DefaultParagraphFont"/>
    <w:link w:val="Quote"/>
    <w:uiPriority w:val="29"/>
    <w:rsid w:val="005D4B7A"/>
    <w:rPr>
      <w:iCs/>
      <w:color w:val="000000" w:themeColor="text1"/>
    </w:rPr>
  </w:style>
  <w:style w:type="paragraph" w:styleId="IntenseQuote">
    <w:name w:val="Intense Quote"/>
    <w:basedOn w:val="Normal"/>
    <w:next w:val="Normal"/>
    <w:link w:val="IntenseQuoteChar"/>
    <w:uiPriority w:val="30"/>
    <w:qFormat/>
    <w:rsid w:val="005D4B7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D4B7A"/>
    <w:rPr>
      <w:b/>
      <w:bCs/>
      <w:i/>
      <w:iCs/>
      <w:color w:val="4F81BD" w:themeColor="accent1"/>
    </w:rPr>
  </w:style>
  <w:style w:type="paragraph" w:customStyle="1" w:styleId="Default">
    <w:name w:val="Default"/>
    <w:rsid w:val="00570BE4"/>
    <w:pPr>
      <w:autoSpaceDE w:val="0"/>
      <w:autoSpaceDN w:val="0"/>
      <w:adjustRightInd w:val="0"/>
      <w:spacing w:after="0" w:line="240" w:lineRule="auto"/>
    </w:pPr>
    <w:rPr>
      <w:rFonts w:ascii="Times New Roman" w:eastAsiaTheme="minorHAnsi" w:hAnsi="Times New Roman" w:cs="Times New Roman"/>
      <w:color w:val="000000"/>
      <w:sz w:val="24"/>
      <w:szCs w:val="24"/>
      <w:lang w:val="en-US" w:eastAsia="en-US"/>
    </w:rPr>
  </w:style>
  <w:style w:type="paragraph" w:styleId="FootnoteText">
    <w:name w:val="footnote text"/>
    <w:basedOn w:val="Normal"/>
    <w:link w:val="FootnoteTextChar"/>
    <w:uiPriority w:val="99"/>
    <w:unhideWhenUsed/>
    <w:rsid w:val="00570BE4"/>
    <w:pPr>
      <w:spacing w:after="0" w:line="240" w:lineRule="auto"/>
    </w:pPr>
    <w:rPr>
      <w:rFonts w:ascii="Times New Roman" w:eastAsiaTheme="minorHAnsi" w:hAnsi="Times New Roman"/>
      <w:sz w:val="20"/>
      <w:szCs w:val="20"/>
      <w:lang w:val="en-US" w:eastAsia="en-US"/>
    </w:rPr>
  </w:style>
  <w:style w:type="character" w:customStyle="1" w:styleId="FootnoteTextChar">
    <w:name w:val="Footnote Text Char"/>
    <w:basedOn w:val="DefaultParagraphFont"/>
    <w:link w:val="FootnoteText"/>
    <w:uiPriority w:val="99"/>
    <w:rsid w:val="00570BE4"/>
    <w:rPr>
      <w:rFonts w:ascii="Times New Roman" w:eastAsiaTheme="minorHAnsi" w:hAnsi="Times New Roman"/>
      <w:sz w:val="20"/>
      <w:szCs w:val="20"/>
      <w:lang w:val="en-US" w:eastAsia="en-US"/>
    </w:rPr>
  </w:style>
  <w:style w:type="character" w:styleId="FootnoteReference">
    <w:name w:val="footnote reference"/>
    <w:basedOn w:val="DefaultParagraphFont"/>
    <w:uiPriority w:val="99"/>
    <w:semiHidden/>
    <w:unhideWhenUsed/>
    <w:rsid w:val="00570BE4"/>
    <w:rPr>
      <w:vertAlign w:val="superscript"/>
    </w:rPr>
  </w:style>
  <w:style w:type="paragraph" w:styleId="CommentSubject">
    <w:name w:val="annotation subject"/>
    <w:basedOn w:val="CommentText"/>
    <w:next w:val="CommentText"/>
    <w:link w:val="CommentSubjectChar"/>
    <w:uiPriority w:val="99"/>
    <w:semiHidden/>
    <w:unhideWhenUsed/>
    <w:rsid w:val="00C92C6C"/>
    <w:rPr>
      <w:rFonts w:asciiTheme="minorHAnsi" w:eastAsiaTheme="minorEastAsia" w:hAnsiTheme="minorHAnsi"/>
      <w:b/>
      <w:bCs/>
      <w:lang w:val="en-GB" w:eastAsia="zh-CN"/>
    </w:rPr>
  </w:style>
  <w:style w:type="character" w:customStyle="1" w:styleId="CommentSubjectChar">
    <w:name w:val="Comment Subject Char"/>
    <w:basedOn w:val="CommentTextChar"/>
    <w:link w:val="CommentSubject"/>
    <w:uiPriority w:val="99"/>
    <w:semiHidden/>
    <w:rsid w:val="00C92C6C"/>
    <w:rPr>
      <w:rFonts w:ascii="Times New Roman" w:eastAsia="Times New Roman" w:hAnsi="Times New Roman"/>
      <w:b/>
      <w:bCs/>
      <w:sz w:val="20"/>
      <w:szCs w:val="20"/>
      <w:lang w:val="en-US" w:eastAsia="en-US"/>
    </w:rPr>
  </w:style>
  <w:style w:type="paragraph" w:styleId="BodyText">
    <w:name w:val="Body Text"/>
    <w:basedOn w:val="Normal"/>
    <w:link w:val="BodyTextChar"/>
    <w:uiPriority w:val="99"/>
    <w:unhideWhenUsed/>
    <w:rsid w:val="00516C3B"/>
    <w:pPr>
      <w:spacing w:before="120" w:after="120" w:line="360" w:lineRule="auto"/>
    </w:pPr>
    <w:rPr>
      <w:rFonts w:ascii="Cambria" w:eastAsia="MS Mincho" w:hAnsi="Cambria" w:cs="Times New Roman"/>
      <w:sz w:val="24"/>
      <w:szCs w:val="24"/>
      <w:lang w:eastAsia="en-US"/>
    </w:rPr>
  </w:style>
  <w:style w:type="character" w:customStyle="1" w:styleId="BodyTextChar">
    <w:name w:val="Body Text Char"/>
    <w:basedOn w:val="DefaultParagraphFont"/>
    <w:link w:val="BodyText"/>
    <w:uiPriority w:val="99"/>
    <w:rsid w:val="00516C3B"/>
    <w:rPr>
      <w:rFonts w:ascii="Cambria" w:eastAsia="MS Mincho" w:hAnsi="Cambria" w:cs="Times New Roman"/>
      <w:sz w:val="24"/>
      <w:szCs w:val="24"/>
      <w:lang w:eastAsia="en-US"/>
    </w:rPr>
  </w:style>
  <w:style w:type="paragraph" w:styleId="Header">
    <w:name w:val="header"/>
    <w:basedOn w:val="Normal"/>
    <w:link w:val="HeaderChar"/>
    <w:uiPriority w:val="99"/>
    <w:unhideWhenUsed/>
    <w:rsid w:val="00222F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2F8B"/>
  </w:style>
  <w:style w:type="paragraph" w:styleId="Footer">
    <w:name w:val="footer"/>
    <w:basedOn w:val="Normal"/>
    <w:link w:val="FooterChar"/>
    <w:uiPriority w:val="99"/>
    <w:unhideWhenUsed/>
    <w:rsid w:val="00222F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2F8B"/>
  </w:style>
  <w:style w:type="character" w:styleId="Hyperlink">
    <w:name w:val="Hyperlink"/>
    <w:basedOn w:val="DefaultParagraphFont"/>
    <w:uiPriority w:val="99"/>
    <w:unhideWhenUsed/>
    <w:rsid w:val="00BF3E52"/>
    <w:rPr>
      <w:color w:val="0000FF" w:themeColor="hyperlink"/>
      <w:u w:val="single"/>
    </w:rPr>
  </w:style>
  <w:style w:type="paragraph" w:styleId="NormalWeb">
    <w:name w:val="Normal (Web)"/>
    <w:basedOn w:val="Normal"/>
    <w:unhideWhenUsed/>
    <w:rsid w:val="00CE349A"/>
    <w:pPr>
      <w:spacing w:before="120" w:after="0"/>
    </w:pPr>
    <w:rPr>
      <w:rFonts w:ascii="Arial" w:eastAsiaTheme="minorHAnsi" w:hAnsi="Arial" w:cs="Times New Roman"/>
      <w:sz w:val="24"/>
      <w:szCs w:val="24"/>
      <w:lang w:eastAsia="en-US"/>
    </w:rPr>
  </w:style>
  <w:style w:type="character" w:styleId="FollowedHyperlink">
    <w:name w:val="FollowedHyperlink"/>
    <w:basedOn w:val="DefaultParagraphFont"/>
    <w:uiPriority w:val="99"/>
    <w:semiHidden/>
    <w:unhideWhenUsed/>
    <w:rsid w:val="00CE34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21184">
      <w:bodyDiv w:val="1"/>
      <w:marLeft w:val="0"/>
      <w:marRight w:val="0"/>
      <w:marTop w:val="0"/>
      <w:marBottom w:val="0"/>
      <w:divBdr>
        <w:top w:val="none" w:sz="0" w:space="0" w:color="auto"/>
        <w:left w:val="none" w:sz="0" w:space="0" w:color="auto"/>
        <w:bottom w:val="none" w:sz="0" w:space="0" w:color="auto"/>
        <w:right w:val="none" w:sz="0" w:space="0" w:color="auto"/>
      </w:divBdr>
      <w:divsChild>
        <w:div w:id="635716809">
          <w:marLeft w:val="0"/>
          <w:marRight w:val="0"/>
          <w:marTop w:val="0"/>
          <w:marBottom w:val="0"/>
          <w:divBdr>
            <w:top w:val="none" w:sz="0" w:space="0" w:color="auto"/>
            <w:left w:val="none" w:sz="0" w:space="0" w:color="auto"/>
            <w:bottom w:val="none" w:sz="0" w:space="0" w:color="auto"/>
            <w:right w:val="none" w:sz="0" w:space="0" w:color="auto"/>
          </w:divBdr>
          <w:divsChild>
            <w:div w:id="1491869165">
              <w:marLeft w:val="0"/>
              <w:marRight w:val="0"/>
              <w:marTop w:val="0"/>
              <w:marBottom w:val="0"/>
              <w:divBdr>
                <w:top w:val="none" w:sz="0" w:space="0" w:color="auto"/>
                <w:left w:val="none" w:sz="0" w:space="0" w:color="auto"/>
                <w:bottom w:val="none" w:sz="0" w:space="0" w:color="auto"/>
                <w:right w:val="none" w:sz="0" w:space="0" w:color="auto"/>
              </w:divBdr>
              <w:divsChild>
                <w:div w:id="690454242">
                  <w:marLeft w:val="0"/>
                  <w:marRight w:val="0"/>
                  <w:marTop w:val="0"/>
                  <w:marBottom w:val="0"/>
                  <w:divBdr>
                    <w:top w:val="none" w:sz="0" w:space="0" w:color="auto"/>
                    <w:left w:val="none" w:sz="0" w:space="0" w:color="auto"/>
                    <w:bottom w:val="none" w:sz="0" w:space="0" w:color="auto"/>
                    <w:right w:val="none" w:sz="0" w:space="0" w:color="auto"/>
                  </w:divBdr>
                  <w:divsChild>
                    <w:div w:id="1858737952">
                      <w:marLeft w:val="0"/>
                      <w:marRight w:val="0"/>
                      <w:marTop w:val="0"/>
                      <w:marBottom w:val="0"/>
                      <w:divBdr>
                        <w:top w:val="none" w:sz="0" w:space="0" w:color="auto"/>
                        <w:left w:val="none" w:sz="0" w:space="0" w:color="auto"/>
                        <w:bottom w:val="none" w:sz="0" w:space="0" w:color="auto"/>
                        <w:right w:val="none" w:sz="0" w:space="0" w:color="auto"/>
                      </w:divBdr>
                      <w:divsChild>
                        <w:div w:id="2070839017">
                          <w:marLeft w:val="0"/>
                          <w:marRight w:val="0"/>
                          <w:marTop w:val="0"/>
                          <w:marBottom w:val="0"/>
                          <w:divBdr>
                            <w:top w:val="none" w:sz="0" w:space="0" w:color="auto"/>
                            <w:left w:val="none" w:sz="0" w:space="0" w:color="auto"/>
                            <w:bottom w:val="none" w:sz="0" w:space="0" w:color="auto"/>
                            <w:right w:val="none" w:sz="0" w:space="0" w:color="auto"/>
                          </w:divBdr>
                          <w:divsChild>
                            <w:div w:id="187407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979334">
      <w:bodyDiv w:val="1"/>
      <w:marLeft w:val="0"/>
      <w:marRight w:val="0"/>
      <w:marTop w:val="0"/>
      <w:marBottom w:val="0"/>
      <w:divBdr>
        <w:top w:val="none" w:sz="0" w:space="0" w:color="auto"/>
        <w:left w:val="none" w:sz="0" w:space="0" w:color="auto"/>
        <w:bottom w:val="none" w:sz="0" w:space="0" w:color="auto"/>
        <w:right w:val="none" w:sz="0" w:space="0" w:color="auto"/>
      </w:divBdr>
      <w:divsChild>
        <w:div w:id="516389426">
          <w:marLeft w:val="0"/>
          <w:marRight w:val="0"/>
          <w:marTop w:val="0"/>
          <w:marBottom w:val="0"/>
          <w:divBdr>
            <w:top w:val="none" w:sz="0" w:space="0" w:color="auto"/>
            <w:left w:val="none" w:sz="0" w:space="0" w:color="auto"/>
            <w:bottom w:val="none" w:sz="0" w:space="0" w:color="auto"/>
            <w:right w:val="none" w:sz="0" w:space="0" w:color="auto"/>
          </w:divBdr>
          <w:divsChild>
            <w:div w:id="1627588125">
              <w:marLeft w:val="0"/>
              <w:marRight w:val="0"/>
              <w:marTop w:val="0"/>
              <w:marBottom w:val="0"/>
              <w:divBdr>
                <w:top w:val="none" w:sz="0" w:space="0" w:color="auto"/>
                <w:left w:val="none" w:sz="0" w:space="0" w:color="auto"/>
                <w:bottom w:val="none" w:sz="0" w:space="0" w:color="auto"/>
                <w:right w:val="none" w:sz="0" w:space="0" w:color="auto"/>
              </w:divBdr>
              <w:divsChild>
                <w:div w:id="1905020592">
                  <w:marLeft w:val="0"/>
                  <w:marRight w:val="0"/>
                  <w:marTop w:val="0"/>
                  <w:marBottom w:val="0"/>
                  <w:divBdr>
                    <w:top w:val="none" w:sz="0" w:space="0" w:color="auto"/>
                    <w:left w:val="none" w:sz="0" w:space="0" w:color="auto"/>
                    <w:bottom w:val="none" w:sz="0" w:space="0" w:color="auto"/>
                    <w:right w:val="none" w:sz="0" w:space="0" w:color="auto"/>
                  </w:divBdr>
                  <w:divsChild>
                    <w:div w:id="1471438347">
                      <w:marLeft w:val="0"/>
                      <w:marRight w:val="0"/>
                      <w:marTop w:val="0"/>
                      <w:marBottom w:val="0"/>
                      <w:divBdr>
                        <w:top w:val="none" w:sz="0" w:space="0" w:color="auto"/>
                        <w:left w:val="none" w:sz="0" w:space="0" w:color="auto"/>
                        <w:bottom w:val="none" w:sz="0" w:space="0" w:color="auto"/>
                        <w:right w:val="none" w:sz="0" w:space="0" w:color="auto"/>
                      </w:divBdr>
                      <w:divsChild>
                        <w:div w:id="1857838936">
                          <w:marLeft w:val="0"/>
                          <w:marRight w:val="0"/>
                          <w:marTop w:val="0"/>
                          <w:marBottom w:val="0"/>
                          <w:divBdr>
                            <w:top w:val="none" w:sz="0" w:space="0" w:color="auto"/>
                            <w:left w:val="none" w:sz="0" w:space="0" w:color="auto"/>
                            <w:bottom w:val="none" w:sz="0" w:space="0" w:color="auto"/>
                            <w:right w:val="none" w:sz="0" w:space="0" w:color="auto"/>
                          </w:divBdr>
                          <w:divsChild>
                            <w:div w:id="681593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871158">
      <w:bodyDiv w:val="1"/>
      <w:marLeft w:val="0"/>
      <w:marRight w:val="0"/>
      <w:marTop w:val="0"/>
      <w:marBottom w:val="0"/>
      <w:divBdr>
        <w:top w:val="none" w:sz="0" w:space="0" w:color="auto"/>
        <w:left w:val="none" w:sz="0" w:space="0" w:color="auto"/>
        <w:bottom w:val="none" w:sz="0" w:space="0" w:color="auto"/>
        <w:right w:val="none" w:sz="0" w:space="0" w:color="auto"/>
      </w:divBdr>
      <w:divsChild>
        <w:div w:id="365327091">
          <w:marLeft w:val="0"/>
          <w:marRight w:val="0"/>
          <w:marTop w:val="0"/>
          <w:marBottom w:val="0"/>
          <w:divBdr>
            <w:top w:val="none" w:sz="0" w:space="0" w:color="auto"/>
            <w:left w:val="none" w:sz="0" w:space="0" w:color="auto"/>
            <w:bottom w:val="none" w:sz="0" w:space="0" w:color="auto"/>
            <w:right w:val="none" w:sz="0" w:space="0" w:color="auto"/>
          </w:divBdr>
          <w:divsChild>
            <w:div w:id="1065031822">
              <w:marLeft w:val="0"/>
              <w:marRight w:val="0"/>
              <w:marTop w:val="0"/>
              <w:marBottom w:val="0"/>
              <w:divBdr>
                <w:top w:val="none" w:sz="0" w:space="0" w:color="auto"/>
                <w:left w:val="none" w:sz="0" w:space="0" w:color="auto"/>
                <w:bottom w:val="none" w:sz="0" w:space="0" w:color="auto"/>
                <w:right w:val="none" w:sz="0" w:space="0" w:color="auto"/>
              </w:divBdr>
              <w:divsChild>
                <w:div w:id="185912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994636">
      <w:bodyDiv w:val="1"/>
      <w:marLeft w:val="0"/>
      <w:marRight w:val="0"/>
      <w:marTop w:val="0"/>
      <w:marBottom w:val="0"/>
      <w:divBdr>
        <w:top w:val="none" w:sz="0" w:space="0" w:color="auto"/>
        <w:left w:val="none" w:sz="0" w:space="0" w:color="auto"/>
        <w:bottom w:val="none" w:sz="0" w:space="0" w:color="auto"/>
        <w:right w:val="none" w:sz="0" w:space="0" w:color="auto"/>
      </w:divBdr>
      <w:divsChild>
        <w:div w:id="1839732568">
          <w:marLeft w:val="0"/>
          <w:marRight w:val="0"/>
          <w:marTop w:val="0"/>
          <w:marBottom w:val="0"/>
          <w:divBdr>
            <w:top w:val="none" w:sz="0" w:space="0" w:color="auto"/>
            <w:left w:val="none" w:sz="0" w:space="0" w:color="auto"/>
            <w:bottom w:val="none" w:sz="0" w:space="0" w:color="auto"/>
            <w:right w:val="none" w:sz="0" w:space="0" w:color="auto"/>
          </w:divBdr>
          <w:divsChild>
            <w:div w:id="209265309">
              <w:marLeft w:val="0"/>
              <w:marRight w:val="0"/>
              <w:marTop w:val="0"/>
              <w:marBottom w:val="0"/>
              <w:divBdr>
                <w:top w:val="none" w:sz="0" w:space="0" w:color="auto"/>
                <w:left w:val="none" w:sz="0" w:space="0" w:color="auto"/>
                <w:bottom w:val="none" w:sz="0" w:space="0" w:color="auto"/>
                <w:right w:val="none" w:sz="0" w:space="0" w:color="auto"/>
              </w:divBdr>
              <w:divsChild>
                <w:div w:id="1063916002">
                  <w:marLeft w:val="0"/>
                  <w:marRight w:val="0"/>
                  <w:marTop w:val="0"/>
                  <w:marBottom w:val="0"/>
                  <w:divBdr>
                    <w:top w:val="none" w:sz="0" w:space="0" w:color="auto"/>
                    <w:left w:val="none" w:sz="0" w:space="0" w:color="auto"/>
                    <w:bottom w:val="none" w:sz="0" w:space="0" w:color="auto"/>
                    <w:right w:val="none" w:sz="0" w:space="0" w:color="auto"/>
                  </w:divBdr>
                  <w:divsChild>
                    <w:div w:id="59559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245311">
      <w:bodyDiv w:val="1"/>
      <w:marLeft w:val="0"/>
      <w:marRight w:val="0"/>
      <w:marTop w:val="0"/>
      <w:marBottom w:val="0"/>
      <w:divBdr>
        <w:top w:val="none" w:sz="0" w:space="0" w:color="auto"/>
        <w:left w:val="none" w:sz="0" w:space="0" w:color="auto"/>
        <w:bottom w:val="none" w:sz="0" w:space="0" w:color="auto"/>
        <w:right w:val="none" w:sz="0" w:space="0" w:color="auto"/>
      </w:divBdr>
      <w:divsChild>
        <w:div w:id="1544363908">
          <w:marLeft w:val="0"/>
          <w:marRight w:val="0"/>
          <w:marTop w:val="0"/>
          <w:marBottom w:val="0"/>
          <w:divBdr>
            <w:top w:val="none" w:sz="0" w:space="0" w:color="auto"/>
            <w:left w:val="none" w:sz="0" w:space="0" w:color="auto"/>
            <w:bottom w:val="none" w:sz="0" w:space="0" w:color="auto"/>
            <w:right w:val="none" w:sz="0" w:space="0" w:color="auto"/>
          </w:divBdr>
          <w:divsChild>
            <w:div w:id="449473352">
              <w:marLeft w:val="0"/>
              <w:marRight w:val="0"/>
              <w:marTop w:val="0"/>
              <w:marBottom w:val="0"/>
              <w:divBdr>
                <w:top w:val="none" w:sz="0" w:space="0" w:color="auto"/>
                <w:left w:val="none" w:sz="0" w:space="0" w:color="auto"/>
                <w:bottom w:val="none" w:sz="0" w:space="0" w:color="auto"/>
                <w:right w:val="none" w:sz="0" w:space="0" w:color="auto"/>
              </w:divBdr>
              <w:divsChild>
                <w:div w:id="1605724258">
                  <w:marLeft w:val="0"/>
                  <w:marRight w:val="0"/>
                  <w:marTop w:val="0"/>
                  <w:marBottom w:val="0"/>
                  <w:divBdr>
                    <w:top w:val="none" w:sz="0" w:space="0" w:color="auto"/>
                    <w:left w:val="none" w:sz="0" w:space="0" w:color="auto"/>
                    <w:bottom w:val="none" w:sz="0" w:space="0" w:color="auto"/>
                    <w:right w:val="none" w:sz="0" w:space="0" w:color="auto"/>
                  </w:divBdr>
                  <w:divsChild>
                    <w:div w:id="1742675135">
                      <w:marLeft w:val="0"/>
                      <w:marRight w:val="0"/>
                      <w:marTop w:val="0"/>
                      <w:marBottom w:val="0"/>
                      <w:divBdr>
                        <w:top w:val="none" w:sz="0" w:space="0" w:color="auto"/>
                        <w:left w:val="none" w:sz="0" w:space="0" w:color="auto"/>
                        <w:bottom w:val="none" w:sz="0" w:space="0" w:color="auto"/>
                        <w:right w:val="none" w:sz="0" w:space="0" w:color="auto"/>
                      </w:divBdr>
                      <w:divsChild>
                        <w:div w:id="1300574578">
                          <w:marLeft w:val="0"/>
                          <w:marRight w:val="0"/>
                          <w:marTop w:val="0"/>
                          <w:marBottom w:val="0"/>
                          <w:divBdr>
                            <w:top w:val="none" w:sz="0" w:space="0" w:color="auto"/>
                            <w:left w:val="none" w:sz="0" w:space="0" w:color="auto"/>
                            <w:bottom w:val="none" w:sz="0" w:space="0" w:color="auto"/>
                            <w:right w:val="none" w:sz="0" w:space="0" w:color="auto"/>
                          </w:divBdr>
                          <w:divsChild>
                            <w:div w:id="182858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637183">
      <w:bodyDiv w:val="1"/>
      <w:marLeft w:val="0"/>
      <w:marRight w:val="0"/>
      <w:marTop w:val="0"/>
      <w:marBottom w:val="0"/>
      <w:divBdr>
        <w:top w:val="none" w:sz="0" w:space="0" w:color="auto"/>
        <w:left w:val="none" w:sz="0" w:space="0" w:color="auto"/>
        <w:bottom w:val="none" w:sz="0" w:space="0" w:color="auto"/>
        <w:right w:val="none" w:sz="0" w:space="0" w:color="auto"/>
      </w:divBdr>
      <w:divsChild>
        <w:div w:id="1289359945">
          <w:marLeft w:val="0"/>
          <w:marRight w:val="0"/>
          <w:marTop w:val="0"/>
          <w:marBottom w:val="0"/>
          <w:divBdr>
            <w:top w:val="none" w:sz="0" w:space="0" w:color="auto"/>
            <w:left w:val="none" w:sz="0" w:space="0" w:color="auto"/>
            <w:bottom w:val="none" w:sz="0" w:space="0" w:color="auto"/>
            <w:right w:val="none" w:sz="0" w:space="0" w:color="auto"/>
          </w:divBdr>
          <w:divsChild>
            <w:div w:id="621767883">
              <w:marLeft w:val="0"/>
              <w:marRight w:val="0"/>
              <w:marTop w:val="0"/>
              <w:marBottom w:val="0"/>
              <w:divBdr>
                <w:top w:val="none" w:sz="0" w:space="0" w:color="auto"/>
                <w:left w:val="none" w:sz="0" w:space="0" w:color="auto"/>
                <w:bottom w:val="none" w:sz="0" w:space="0" w:color="auto"/>
                <w:right w:val="none" w:sz="0" w:space="0" w:color="auto"/>
              </w:divBdr>
              <w:divsChild>
                <w:div w:id="1287547619">
                  <w:marLeft w:val="0"/>
                  <w:marRight w:val="0"/>
                  <w:marTop w:val="0"/>
                  <w:marBottom w:val="0"/>
                  <w:divBdr>
                    <w:top w:val="none" w:sz="0" w:space="0" w:color="auto"/>
                    <w:left w:val="none" w:sz="0" w:space="0" w:color="auto"/>
                    <w:bottom w:val="none" w:sz="0" w:space="0" w:color="auto"/>
                    <w:right w:val="none" w:sz="0" w:space="0" w:color="auto"/>
                  </w:divBdr>
                  <w:divsChild>
                    <w:div w:id="1253588364">
                      <w:marLeft w:val="0"/>
                      <w:marRight w:val="0"/>
                      <w:marTop w:val="0"/>
                      <w:marBottom w:val="0"/>
                      <w:divBdr>
                        <w:top w:val="none" w:sz="0" w:space="0" w:color="auto"/>
                        <w:left w:val="none" w:sz="0" w:space="0" w:color="auto"/>
                        <w:bottom w:val="none" w:sz="0" w:space="0" w:color="auto"/>
                        <w:right w:val="none" w:sz="0" w:space="0" w:color="auto"/>
                      </w:divBdr>
                      <w:divsChild>
                        <w:div w:id="737824879">
                          <w:marLeft w:val="0"/>
                          <w:marRight w:val="0"/>
                          <w:marTop w:val="0"/>
                          <w:marBottom w:val="0"/>
                          <w:divBdr>
                            <w:top w:val="none" w:sz="0" w:space="0" w:color="auto"/>
                            <w:left w:val="none" w:sz="0" w:space="0" w:color="auto"/>
                            <w:bottom w:val="none" w:sz="0" w:space="0" w:color="auto"/>
                            <w:right w:val="none" w:sz="0" w:space="0" w:color="auto"/>
                          </w:divBdr>
                          <w:divsChild>
                            <w:div w:id="105908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4928856">
      <w:bodyDiv w:val="1"/>
      <w:marLeft w:val="0"/>
      <w:marRight w:val="0"/>
      <w:marTop w:val="0"/>
      <w:marBottom w:val="0"/>
      <w:divBdr>
        <w:top w:val="none" w:sz="0" w:space="0" w:color="auto"/>
        <w:left w:val="none" w:sz="0" w:space="0" w:color="auto"/>
        <w:bottom w:val="none" w:sz="0" w:space="0" w:color="auto"/>
        <w:right w:val="none" w:sz="0" w:space="0" w:color="auto"/>
      </w:divBdr>
    </w:div>
    <w:div w:id="472065087">
      <w:bodyDiv w:val="1"/>
      <w:marLeft w:val="0"/>
      <w:marRight w:val="0"/>
      <w:marTop w:val="0"/>
      <w:marBottom w:val="0"/>
      <w:divBdr>
        <w:top w:val="none" w:sz="0" w:space="0" w:color="auto"/>
        <w:left w:val="none" w:sz="0" w:space="0" w:color="auto"/>
        <w:bottom w:val="none" w:sz="0" w:space="0" w:color="auto"/>
        <w:right w:val="none" w:sz="0" w:space="0" w:color="auto"/>
      </w:divBdr>
      <w:divsChild>
        <w:div w:id="69426070">
          <w:marLeft w:val="0"/>
          <w:marRight w:val="0"/>
          <w:marTop w:val="0"/>
          <w:marBottom w:val="0"/>
          <w:divBdr>
            <w:top w:val="none" w:sz="0" w:space="0" w:color="auto"/>
            <w:left w:val="none" w:sz="0" w:space="0" w:color="auto"/>
            <w:bottom w:val="none" w:sz="0" w:space="0" w:color="auto"/>
            <w:right w:val="none" w:sz="0" w:space="0" w:color="auto"/>
          </w:divBdr>
          <w:divsChild>
            <w:div w:id="402459712">
              <w:marLeft w:val="0"/>
              <w:marRight w:val="0"/>
              <w:marTop w:val="0"/>
              <w:marBottom w:val="0"/>
              <w:divBdr>
                <w:top w:val="none" w:sz="0" w:space="0" w:color="auto"/>
                <w:left w:val="none" w:sz="0" w:space="0" w:color="auto"/>
                <w:bottom w:val="none" w:sz="0" w:space="0" w:color="auto"/>
                <w:right w:val="none" w:sz="0" w:space="0" w:color="auto"/>
              </w:divBdr>
              <w:divsChild>
                <w:div w:id="2006783065">
                  <w:marLeft w:val="0"/>
                  <w:marRight w:val="0"/>
                  <w:marTop w:val="0"/>
                  <w:marBottom w:val="0"/>
                  <w:divBdr>
                    <w:top w:val="none" w:sz="0" w:space="0" w:color="auto"/>
                    <w:left w:val="none" w:sz="0" w:space="0" w:color="auto"/>
                    <w:bottom w:val="none" w:sz="0" w:space="0" w:color="auto"/>
                    <w:right w:val="none" w:sz="0" w:space="0" w:color="auto"/>
                  </w:divBdr>
                  <w:divsChild>
                    <w:div w:id="289361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725989">
      <w:bodyDiv w:val="1"/>
      <w:marLeft w:val="0"/>
      <w:marRight w:val="0"/>
      <w:marTop w:val="0"/>
      <w:marBottom w:val="0"/>
      <w:divBdr>
        <w:top w:val="none" w:sz="0" w:space="0" w:color="auto"/>
        <w:left w:val="none" w:sz="0" w:space="0" w:color="auto"/>
        <w:bottom w:val="none" w:sz="0" w:space="0" w:color="auto"/>
        <w:right w:val="none" w:sz="0" w:space="0" w:color="auto"/>
      </w:divBdr>
      <w:divsChild>
        <w:div w:id="1078483008">
          <w:marLeft w:val="0"/>
          <w:marRight w:val="0"/>
          <w:marTop w:val="0"/>
          <w:marBottom w:val="0"/>
          <w:divBdr>
            <w:top w:val="none" w:sz="0" w:space="0" w:color="auto"/>
            <w:left w:val="none" w:sz="0" w:space="0" w:color="auto"/>
            <w:bottom w:val="none" w:sz="0" w:space="0" w:color="auto"/>
            <w:right w:val="none" w:sz="0" w:space="0" w:color="auto"/>
          </w:divBdr>
          <w:divsChild>
            <w:div w:id="208340727">
              <w:marLeft w:val="0"/>
              <w:marRight w:val="0"/>
              <w:marTop w:val="0"/>
              <w:marBottom w:val="0"/>
              <w:divBdr>
                <w:top w:val="none" w:sz="0" w:space="0" w:color="auto"/>
                <w:left w:val="none" w:sz="0" w:space="0" w:color="auto"/>
                <w:bottom w:val="none" w:sz="0" w:space="0" w:color="auto"/>
                <w:right w:val="none" w:sz="0" w:space="0" w:color="auto"/>
              </w:divBdr>
              <w:divsChild>
                <w:div w:id="2109690953">
                  <w:marLeft w:val="0"/>
                  <w:marRight w:val="0"/>
                  <w:marTop w:val="0"/>
                  <w:marBottom w:val="0"/>
                  <w:divBdr>
                    <w:top w:val="none" w:sz="0" w:space="0" w:color="auto"/>
                    <w:left w:val="none" w:sz="0" w:space="0" w:color="auto"/>
                    <w:bottom w:val="none" w:sz="0" w:space="0" w:color="auto"/>
                    <w:right w:val="none" w:sz="0" w:space="0" w:color="auto"/>
                  </w:divBdr>
                  <w:divsChild>
                    <w:div w:id="201138989">
                      <w:marLeft w:val="0"/>
                      <w:marRight w:val="0"/>
                      <w:marTop w:val="0"/>
                      <w:marBottom w:val="0"/>
                      <w:divBdr>
                        <w:top w:val="none" w:sz="0" w:space="0" w:color="auto"/>
                        <w:left w:val="none" w:sz="0" w:space="0" w:color="auto"/>
                        <w:bottom w:val="none" w:sz="0" w:space="0" w:color="auto"/>
                        <w:right w:val="none" w:sz="0" w:space="0" w:color="auto"/>
                      </w:divBdr>
                      <w:divsChild>
                        <w:div w:id="1165439110">
                          <w:marLeft w:val="0"/>
                          <w:marRight w:val="0"/>
                          <w:marTop w:val="0"/>
                          <w:marBottom w:val="0"/>
                          <w:divBdr>
                            <w:top w:val="none" w:sz="0" w:space="0" w:color="auto"/>
                            <w:left w:val="none" w:sz="0" w:space="0" w:color="auto"/>
                            <w:bottom w:val="none" w:sz="0" w:space="0" w:color="auto"/>
                            <w:right w:val="none" w:sz="0" w:space="0" w:color="auto"/>
                          </w:divBdr>
                          <w:divsChild>
                            <w:div w:id="154011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4308126">
      <w:bodyDiv w:val="1"/>
      <w:marLeft w:val="0"/>
      <w:marRight w:val="0"/>
      <w:marTop w:val="0"/>
      <w:marBottom w:val="0"/>
      <w:divBdr>
        <w:top w:val="none" w:sz="0" w:space="0" w:color="auto"/>
        <w:left w:val="none" w:sz="0" w:space="0" w:color="auto"/>
        <w:bottom w:val="none" w:sz="0" w:space="0" w:color="auto"/>
        <w:right w:val="none" w:sz="0" w:space="0" w:color="auto"/>
      </w:divBdr>
      <w:divsChild>
        <w:div w:id="994144151">
          <w:marLeft w:val="0"/>
          <w:marRight w:val="0"/>
          <w:marTop w:val="0"/>
          <w:marBottom w:val="0"/>
          <w:divBdr>
            <w:top w:val="none" w:sz="0" w:space="0" w:color="auto"/>
            <w:left w:val="none" w:sz="0" w:space="0" w:color="auto"/>
            <w:bottom w:val="none" w:sz="0" w:space="0" w:color="auto"/>
            <w:right w:val="none" w:sz="0" w:space="0" w:color="auto"/>
          </w:divBdr>
          <w:divsChild>
            <w:div w:id="1561213043">
              <w:marLeft w:val="0"/>
              <w:marRight w:val="0"/>
              <w:marTop w:val="0"/>
              <w:marBottom w:val="0"/>
              <w:divBdr>
                <w:top w:val="none" w:sz="0" w:space="0" w:color="auto"/>
                <w:left w:val="none" w:sz="0" w:space="0" w:color="auto"/>
                <w:bottom w:val="none" w:sz="0" w:space="0" w:color="auto"/>
                <w:right w:val="none" w:sz="0" w:space="0" w:color="auto"/>
              </w:divBdr>
              <w:divsChild>
                <w:div w:id="63579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89771">
      <w:bodyDiv w:val="1"/>
      <w:marLeft w:val="0"/>
      <w:marRight w:val="0"/>
      <w:marTop w:val="0"/>
      <w:marBottom w:val="0"/>
      <w:divBdr>
        <w:top w:val="none" w:sz="0" w:space="0" w:color="auto"/>
        <w:left w:val="none" w:sz="0" w:space="0" w:color="auto"/>
        <w:bottom w:val="none" w:sz="0" w:space="0" w:color="auto"/>
        <w:right w:val="none" w:sz="0" w:space="0" w:color="auto"/>
      </w:divBdr>
      <w:divsChild>
        <w:div w:id="1545675293">
          <w:marLeft w:val="0"/>
          <w:marRight w:val="0"/>
          <w:marTop w:val="0"/>
          <w:marBottom w:val="0"/>
          <w:divBdr>
            <w:top w:val="none" w:sz="0" w:space="0" w:color="auto"/>
            <w:left w:val="none" w:sz="0" w:space="0" w:color="auto"/>
            <w:bottom w:val="none" w:sz="0" w:space="0" w:color="auto"/>
            <w:right w:val="none" w:sz="0" w:space="0" w:color="auto"/>
          </w:divBdr>
          <w:divsChild>
            <w:div w:id="188764298">
              <w:marLeft w:val="0"/>
              <w:marRight w:val="0"/>
              <w:marTop w:val="0"/>
              <w:marBottom w:val="0"/>
              <w:divBdr>
                <w:top w:val="none" w:sz="0" w:space="0" w:color="auto"/>
                <w:left w:val="none" w:sz="0" w:space="0" w:color="auto"/>
                <w:bottom w:val="none" w:sz="0" w:space="0" w:color="auto"/>
                <w:right w:val="none" w:sz="0" w:space="0" w:color="auto"/>
              </w:divBdr>
              <w:divsChild>
                <w:div w:id="1743671619">
                  <w:marLeft w:val="0"/>
                  <w:marRight w:val="0"/>
                  <w:marTop w:val="0"/>
                  <w:marBottom w:val="0"/>
                  <w:divBdr>
                    <w:top w:val="none" w:sz="0" w:space="0" w:color="auto"/>
                    <w:left w:val="none" w:sz="0" w:space="0" w:color="auto"/>
                    <w:bottom w:val="none" w:sz="0" w:space="0" w:color="auto"/>
                    <w:right w:val="none" w:sz="0" w:space="0" w:color="auto"/>
                  </w:divBdr>
                  <w:divsChild>
                    <w:div w:id="1957519376">
                      <w:marLeft w:val="0"/>
                      <w:marRight w:val="0"/>
                      <w:marTop w:val="0"/>
                      <w:marBottom w:val="0"/>
                      <w:divBdr>
                        <w:top w:val="none" w:sz="0" w:space="0" w:color="auto"/>
                        <w:left w:val="none" w:sz="0" w:space="0" w:color="auto"/>
                        <w:bottom w:val="none" w:sz="0" w:space="0" w:color="auto"/>
                        <w:right w:val="none" w:sz="0" w:space="0" w:color="auto"/>
                      </w:divBdr>
                      <w:divsChild>
                        <w:div w:id="979306569">
                          <w:marLeft w:val="0"/>
                          <w:marRight w:val="0"/>
                          <w:marTop w:val="0"/>
                          <w:marBottom w:val="0"/>
                          <w:divBdr>
                            <w:top w:val="none" w:sz="0" w:space="0" w:color="auto"/>
                            <w:left w:val="none" w:sz="0" w:space="0" w:color="auto"/>
                            <w:bottom w:val="none" w:sz="0" w:space="0" w:color="auto"/>
                            <w:right w:val="none" w:sz="0" w:space="0" w:color="auto"/>
                          </w:divBdr>
                          <w:divsChild>
                            <w:div w:id="896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5839345">
      <w:bodyDiv w:val="1"/>
      <w:marLeft w:val="0"/>
      <w:marRight w:val="0"/>
      <w:marTop w:val="0"/>
      <w:marBottom w:val="0"/>
      <w:divBdr>
        <w:top w:val="none" w:sz="0" w:space="0" w:color="auto"/>
        <w:left w:val="none" w:sz="0" w:space="0" w:color="auto"/>
        <w:bottom w:val="none" w:sz="0" w:space="0" w:color="auto"/>
        <w:right w:val="none" w:sz="0" w:space="0" w:color="auto"/>
      </w:divBdr>
      <w:divsChild>
        <w:div w:id="51078877">
          <w:marLeft w:val="0"/>
          <w:marRight w:val="0"/>
          <w:marTop w:val="0"/>
          <w:marBottom w:val="0"/>
          <w:divBdr>
            <w:top w:val="none" w:sz="0" w:space="0" w:color="auto"/>
            <w:left w:val="none" w:sz="0" w:space="0" w:color="auto"/>
            <w:bottom w:val="none" w:sz="0" w:space="0" w:color="auto"/>
            <w:right w:val="none" w:sz="0" w:space="0" w:color="auto"/>
          </w:divBdr>
          <w:divsChild>
            <w:div w:id="939025235">
              <w:marLeft w:val="0"/>
              <w:marRight w:val="0"/>
              <w:marTop w:val="0"/>
              <w:marBottom w:val="0"/>
              <w:divBdr>
                <w:top w:val="none" w:sz="0" w:space="0" w:color="auto"/>
                <w:left w:val="none" w:sz="0" w:space="0" w:color="auto"/>
                <w:bottom w:val="none" w:sz="0" w:space="0" w:color="auto"/>
                <w:right w:val="none" w:sz="0" w:space="0" w:color="auto"/>
              </w:divBdr>
              <w:divsChild>
                <w:div w:id="9910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256481">
      <w:bodyDiv w:val="1"/>
      <w:marLeft w:val="0"/>
      <w:marRight w:val="0"/>
      <w:marTop w:val="0"/>
      <w:marBottom w:val="0"/>
      <w:divBdr>
        <w:top w:val="none" w:sz="0" w:space="0" w:color="auto"/>
        <w:left w:val="none" w:sz="0" w:space="0" w:color="auto"/>
        <w:bottom w:val="none" w:sz="0" w:space="0" w:color="auto"/>
        <w:right w:val="none" w:sz="0" w:space="0" w:color="auto"/>
      </w:divBdr>
      <w:divsChild>
        <w:div w:id="472409764">
          <w:marLeft w:val="0"/>
          <w:marRight w:val="0"/>
          <w:marTop w:val="0"/>
          <w:marBottom w:val="0"/>
          <w:divBdr>
            <w:top w:val="none" w:sz="0" w:space="0" w:color="auto"/>
            <w:left w:val="none" w:sz="0" w:space="0" w:color="auto"/>
            <w:bottom w:val="none" w:sz="0" w:space="0" w:color="auto"/>
            <w:right w:val="none" w:sz="0" w:space="0" w:color="auto"/>
          </w:divBdr>
          <w:divsChild>
            <w:div w:id="302808751">
              <w:marLeft w:val="0"/>
              <w:marRight w:val="0"/>
              <w:marTop w:val="0"/>
              <w:marBottom w:val="0"/>
              <w:divBdr>
                <w:top w:val="none" w:sz="0" w:space="0" w:color="auto"/>
                <w:left w:val="none" w:sz="0" w:space="0" w:color="auto"/>
                <w:bottom w:val="none" w:sz="0" w:space="0" w:color="auto"/>
                <w:right w:val="none" w:sz="0" w:space="0" w:color="auto"/>
              </w:divBdr>
              <w:divsChild>
                <w:div w:id="898397439">
                  <w:marLeft w:val="0"/>
                  <w:marRight w:val="0"/>
                  <w:marTop w:val="0"/>
                  <w:marBottom w:val="0"/>
                  <w:divBdr>
                    <w:top w:val="none" w:sz="0" w:space="0" w:color="auto"/>
                    <w:left w:val="none" w:sz="0" w:space="0" w:color="auto"/>
                    <w:bottom w:val="none" w:sz="0" w:space="0" w:color="auto"/>
                    <w:right w:val="none" w:sz="0" w:space="0" w:color="auto"/>
                  </w:divBdr>
                  <w:divsChild>
                    <w:div w:id="698437212">
                      <w:marLeft w:val="0"/>
                      <w:marRight w:val="0"/>
                      <w:marTop w:val="0"/>
                      <w:marBottom w:val="0"/>
                      <w:divBdr>
                        <w:top w:val="none" w:sz="0" w:space="0" w:color="auto"/>
                        <w:left w:val="none" w:sz="0" w:space="0" w:color="auto"/>
                        <w:bottom w:val="none" w:sz="0" w:space="0" w:color="auto"/>
                        <w:right w:val="none" w:sz="0" w:space="0" w:color="auto"/>
                      </w:divBdr>
                      <w:divsChild>
                        <w:div w:id="2110729974">
                          <w:marLeft w:val="0"/>
                          <w:marRight w:val="0"/>
                          <w:marTop w:val="0"/>
                          <w:marBottom w:val="0"/>
                          <w:divBdr>
                            <w:top w:val="none" w:sz="0" w:space="0" w:color="auto"/>
                            <w:left w:val="none" w:sz="0" w:space="0" w:color="auto"/>
                            <w:bottom w:val="none" w:sz="0" w:space="0" w:color="auto"/>
                            <w:right w:val="none" w:sz="0" w:space="0" w:color="auto"/>
                          </w:divBdr>
                          <w:divsChild>
                            <w:div w:id="162280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9503178">
      <w:bodyDiv w:val="1"/>
      <w:marLeft w:val="0"/>
      <w:marRight w:val="0"/>
      <w:marTop w:val="0"/>
      <w:marBottom w:val="0"/>
      <w:divBdr>
        <w:top w:val="none" w:sz="0" w:space="0" w:color="auto"/>
        <w:left w:val="none" w:sz="0" w:space="0" w:color="auto"/>
        <w:bottom w:val="none" w:sz="0" w:space="0" w:color="auto"/>
        <w:right w:val="none" w:sz="0" w:space="0" w:color="auto"/>
      </w:divBdr>
      <w:divsChild>
        <w:div w:id="1073891622">
          <w:marLeft w:val="0"/>
          <w:marRight w:val="0"/>
          <w:marTop w:val="0"/>
          <w:marBottom w:val="0"/>
          <w:divBdr>
            <w:top w:val="none" w:sz="0" w:space="0" w:color="auto"/>
            <w:left w:val="none" w:sz="0" w:space="0" w:color="auto"/>
            <w:bottom w:val="none" w:sz="0" w:space="0" w:color="auto"/>
            <w:right w:val="none" w:sz="0" w:space="0" w:color="auto"/>
          </w:divBdr>
          <w:divsChild>
            <w:div w:id="1831293526">
              <w:marLeft w:val="0"/>
              <w:marRight w:val="0"/>
              <w:marTop w:val="0"/>
              <w:marBottom w:val="0"/>
              <w:divBdr>
                <w:top w:val="none" w:sz="0" w:space="0" w:color="auto"/>
                <w:left w:val="none" w:sz="0" w:space="0" w:color="auto"/>
                <w:bottom w:val="none" w:sz="0" w:space="0" w:color="auto"/>
                <w:right w:val="none" w:sz="0" w:space="0" w:color="auto"/>
              </w:divBdr>
              <w:divsChild>
                <w:div w:id="1172143229">
                  <w:marLeft w:val="0"/>
                  <w:marRight w:val="0"/>
                  <w:marTop w:val="0"/>
                  <w:marBottom w:val="0"/>
                  <w:divBdr>
                    <w:top w:val="none" w:sz="0" w:space="0" w:color="auto"/>
                    <w:left w:val="none" w:sz="0" w:space="0" w:color="auto"/>
                    <w:bottom w:val="none" w:sz="0" w:space="0" w:color="auto"/>
                    <w:right w:val="none" w:sz="0" w:space="0" w:color="auto"/>
                  </w:divBdr>
                  <w:divsChild>
                    <w:div w:id="252125862">
                      <w:marLeft w:val="0"/>
                      <w:marRight w:val="0"/>
                      <w:marTop w:val="0"/>
                      <w:marBottom w:val="0"/>
                      <w:divBdr>
                        <w:top w:val="none" w:sz="0" w:space="0" w:color="auto"/>
                        <w:left w:val="none" w:sz="0" w:space="0" w:color="auto"/>
                        <w:bottom w:val="none" w:sz="0" w:space="0" w:color="auto"/>
                        <w:right w:val="none" w:sz="0" w:space="0" w:color="auto"/>
                      </w:divBdr>
                      <w:divsChild>
                        <w:div w:id="972057381">
                          <w:marLeft w:val="0"/>
                          <w:marRight w:val="0"/>
                          <w:marTop w:val="0"/>
                          <w:marBottom w:val="0"/>
                          <w:divBdr>
                            <w:top w:val="none" w:sz="0" w:space="0" w:color="auto"/>
                            <w:left w:val="none" w:sz="0" w:space="0" w:color="auto"/>
                            <w:bottom w:val="none" w:sz="0" w:space="0" w:color="auto"/>
                            <w:right w:val="none" w:sz="0" w:space="0" w:color="auto"/>
                          </w:divBdr>
                          <w:divsChild>
                            <w:div w:id="94307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358916">
      <w:bodyDiv w:val="1"/>
      <w:marLeft w:val="0"/>
      <w:marRight w:val="0"/>
      <w:marTop w:val="0"/>
      <w:marBottom w:val="0"/>
      <w:divBdr>
        <w:top w:val="none" w:sz="0" w:space="0" w:color="auto"/>
        <w:left w:val="none" w:sz="0" w:space="0" w:color="auto"/>
        <w:bottom w:val="none" w:sz="0" w:space="0" w:color="auto"/>
        <w:right w:val="none" w:sz="0" w:space="0" w:color="auto"/>
      </w:divBdr>
      <w:divsChild>
        <w:div w:id="447892271">
          <w:marLeft w:val="0"/>
          <w:marRight w:val="0"/>
          <w:marTop w:val="0"/>
          <w:marBottom w:val="0"/>
          <w:divBdr>
            <w:top w:val="none" w:sz="0" w:space="0" w:color="auto"/>
            <w:left w:val="none" w:sz="0" w:space="0" w:color="auto"/>
            <w:bottom w:val="none" w:sz="0" w:space="0" w:color="auto"/>
            <w:right w:val="none" w:sz="0" w:space="0" w:color="auto"/>
          </w:divBdr>
          <w:divsChild>
            <w:div w:id="581573721">
              <w:marLeft w:val="0"/>
              <w:marRight w:val="0"/>
              <w:marTop w:val="0"/>
              <w:marBottom w:val="0"/>
              <w:divBdr>
                <w:top w:val="none" w:sz="0" w:space="0" w:color="auto"/>
                <w:left w:val="none" w:sz="0" w:space="0" w:color="auto"/>
                <w:bottom w:val="none" w:sz="0" w:space="0" w:color="auto"/>
                <w:right w:val="none" w:sz="0" w:space="0" w:color="auto"/>
              </w:divBdr>
              <w:divsChild>
                <w:div w:id="1049956397">
                  <w:marLeft w:val="0"/>
                  <w:marRight w:val="0"/>
                  <w:marTop w:val="0"/>
                  <w:marBottom w:val="0"/>
                  <w:divBdr>
                    <w:top w:val="none" w:sz="0" w:space="0" w:color="auto"/>
                    <w:left w:val="none" w:sz="0" w:space="0" w:color="auto"/>
                    <w:bottom w:val="none" w:sz="0" w:space="0" w:color="auto"/>
                    <w:right w:val="none" w:sz="0" w:space="0" w:color="auto"/>
                  </w:divBdr>
                  <w:divsChild>
                    <w:div w:id="19246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985454">
      <w:bodyDiv w:val="1"/>
      <w:marLeft w:val="0"/>
      <w:marRight w:val="0"/>
      <w:marTop w:val="0"/>
      <w:marBottom w:val="0"/>
      <w:divBdr>
        <w:top w:val="none" w:sz="0" w:space="0" w:color="auto"/>
        <w:left w:val="none" w:sz="0" w:space="0" w:color="auto"/>
        <w:bottom w:val="none" w:sz="0" w:space="0" w:color="auto"/>
        <w:right w:val="none" w:sz="0" w:space="0" w:color="auto"/>
      </w:divBdr>
      <w:divsChild>
        <w:div w:id="28649761">
          <w:marLeft w:val="0"/>
          <w:marRight w:val="0"/>
          <w:marTop w:val="0"/>
          <w:marBottom w:val="0"/>
          <w:divBdr>
            <w:top w:val="none" w:sz="0" w:space="0" w:color="auto"/>
            <w:left w:val="none" w:sz="0" w:space="0" w:color="auto"/>
            <w:bottom w:val="none" w:sz="0" w:space="0" w:color="auto"/>
            <w:right w:val="none" w:sz="0" w:space="0" w:color="auto"/>
          </w:divBdr>
          <w:divsChild>
            <w:div w:id="2145730721">
              <w:marLeft w:val="0"/>
              <w:marRight w:val="0"/>
              <w:marTop w:val="0"/>
              <w:marBottom w:val="0"/>
              <w:divBdr>
                <w:top w:val="none" w:sz="0" w:space="0" w:color="auto"/>
                <w:left w:val="none" w:sz="0" w:space="0" w:color="auto"/>
                <w:bottom w:val="none" w:sz="0" w:space="0" w:color="auto"/>
                <w:right w:val="none" w:sz="0" w:space="0" w:color="auto"/>
              </w:divBdr>
              <w:divsChild>
                <w:div w:id="719087646">
                  <w:marLeft w:val="0"/>
                  <w:marRight w:val="0"/>
                  <w:marTop w:val="0"/>
                  <w:marBottom w:val="0"/>
                  <w:divBdr>
                    <w:top w:val="none" w:sz="0" w:space="0" w:color="auto"/>
                    <w:left w:val="none" w:sz="0" w:space="0" w:color="auto"/>
                    <w:bottom w:val="none" w:sz="0" w:space="0" w:color="auto"/>
                    <w:right w:val="none" w:sz="0" w:space="0" w:color="auto"/>
                  </w:divBdr>
                  <w:divsChild>
                    <w:div w:id="1202860513">
                      <w:marLeft w:val="0"/>
                      <w:marRight w:val="0"/>
                      <w:marTop w:val="0"/>
                      <w:marBottom w:val="0"/>
                      <w:divBdr>
                        <w:top w:val="none" w:sz="0" w:space="0" w:color="auto"/>
                        <w:left w:val="none" w:sz="0" w:space="0" w:color="auto"/>
                        <w:bottom w:val="none" w:sz="0" w:space="0" w:color="auto"/>
                        <w:right w:val="none" w:sz="0" w:space="0" w:color="auto"/>
                      </w:divBdr>
                      <w:divsChild>
                        <w:div w:id="251740063">
                          <w:marLeft w:val="0"/>
                          <w:marRight w:val="0"/>
                          <w:marTop w:val="0"/>
                          <w:marBottom w:val="0"/>
                          <w:divBdr>
                            <w:top w:val="none" w:sz="0" w:space="0" w:color="auto"/>
                            <w:left w:val="none" w:sz="0" w:space="0" w:color="auto"/>
                            <w:bottom w:val="none" w:sz="0" w:space="0" w:color="auto"/>
                            <w:right w:val="none" w:sz="0" w:space="0" w:color="auto"/>
                          </w:divBdr>
                          <w:divsChild>
                            <w:div w:id="156895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675684">
      <w:bodyDiv w:val="1"/>
      <w:marLeft w:val="0"/>
      <w:marRight w:val="0"/>
      <w:marTop w:val="0"/>
      <w:marBottom w:val="0"/>
      <w:divBdr>
        <w:top w:val="none" w:sz="0" w:space="0" w:color="auto"/>
        <w:left w:val="none" w:sz="0" w:space="0" w:color="auto"/>
        <w:bottom w:val="none" w:sz="0" w:space="0" w:color="auto"/>
        <w:right w:val="none" w:sz="0" w:space="0" w:color="auto"/>
      </w:divBdr>
      <w:divsChild>
        <w:div w:id="1479883476">
          <w:marLeft w:val="0"/>
          <w:marRight w:val="0"/>
          <w:marTop w:val="0"/>
          <w:marBottom w:val="0"/>
          <w:divBdr>
            <w:top w:val="none" w:sz="0" w:space="0" w:color="auto"/>
            <w:left w:val="none" w:sz="0" w:space="0" w:color="auto"/>
            <w:bottom w:val="none" w:sz="0" w:space="0" w:color="auto"/>
            <w:right w:val="none" w:sz="0" w:space="0" w:color="auto"/>
          </w:divBdr>
          <w:divsChild>
            <w:div w:id="603193553">
              <w:marLeft w:val="0"/>
              <w:marRight w:val="0"/>
              <w:marTop w:val="0"/>
              <w:marBottom w:val="0"/>
              <w:divBdr>
                <w:top w:val="none" w:sz="0" w:space="0" w:color="auto"/>
                <w:left w:val="none" w:sz="0" w:space="0" w:color="auto"/>
                <w:bottom w:val="none" w:sz="0" w:space="0" w:color="auto"/>
                <w:right w:val="none" w:sz="0" w:space="0" w:color="auto"/>
              </w:divBdr>
              <w:divsChild>
                <w:div w:id="1641303456">
                  <w:marLeft w:val="0"/>
                  <w:marRight w:val="0"/>
                  <w:marTop w:val="0"/>
                  <w:marBottom w:val="0"/>
                  <w:divBdr>
                    <w:top w:val="none" w:sz="0" w:space="0" w:color="auto"/>
                    <w:left w:val="none" w:sz="0" w:space="0" w:color="auto"/>
                    <w:bottom w:val="none" w:sz="0" w:space="0" w:color="auto"/>
                    <w:right w:val="none" w:sz="0" w:space="0" w:color="auto"/>
                  </w:divBdr>
                  <w:divsChild>
                    <w:div w:id="103307906">
                      <w:marLeft w:val="0"/>
                      <w:marRight w:val="0"/>
                      <w:marTop w:val="0"/>
                      <w:marBottom w:val="0"/>
                      <w:divBdr>
                        <w:top w:val="none" w:sz="0" w:space="0" w:color="auto"/>
                        <w:left w:val="none" w:sz="0" w:space="0" w:color="auto"/>
                        <w:bottom w:val="none" w:sz="0" w:space="0" w:color="auto"/>
                        <w:right w:val="none" w:sz="0" w:space="0" w:color="auto"/>
                      </w:divBdr>
                      <w:divsChild>
                        <w:div w:id="1380547916">
                          <w:marLeft w:val="0"/>
                          <w:marRight w:val="0"/>
                          <w:marTop w:val="0"/>
                          <w:marBottom w:val="0"/>
                          <w:divBdr>
                            <w:top w:val="none" w:sz="0" w:space="0" w:color="auto"/>
                            <w:left w:val="none" w:sz="0" w:space="0" w:color="auto"/>
                            <w:bottom w:val="none" w:sz="0" w:space="0" w:color="auto"/>
                            <w:right w:val="none" w:sz="0" w:space="0" w:color="auto"/>
                          </w:divBdr>
                          <w:divsChild>
                            <w:div w:id="42194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3066228">
      <w:bodyDiv w:val="1"/>
      <w:marLeft w:val="0"/>
      <w:marRight w:val="0"/>
      <w:marTop w:val="0"/>
      <w:marBottom w:val="0"/>
      <w:divBdr>
        <w:top w:val="none" w:sz="0" w:space="0" w:color="auto"/>
        <w:left w:val="none" w:sz="0" w:space="0" w:color="auto"/>
        <w:bottom w:val="none" w:sz="0" w:space="0" w:color="auto"/>
        <w:right w:val="none" w:sz="0" w:space="0" w:color="auto"/>
      </w:divBdr>
      <w:divsChild>
        <w:div w:id="1911161178">
          <w:marLeft w:val="0"/>
          <w:marRight w:val="0"/>
          <w:marTop w:val="0"/>
          <w:marBottom w:val="0"/>
          <w:divBdr>
            <w:top w:val="none" w:sz="0" w:space="0" w:color="auto"/>
            <w:left w:val="none" w:sz="0" w:space="0" w:color="auto"/>
            <w:bottom w:val="none" w:sz="0" w:space="0" w:color="auto"/>
            <w:right w:val="none" w:sz="0" w:space="0" w:color="auto"/>
          </w:divBdr>
          <w:divsChild>
            <w:div w:id="414983153">
              <w:marLeft w:val="0"/>
              <w:marRight w:val="0"/>
              <w:marTop w:val="0"/>
              <w:marBottom w:val="0"/>
              <w:divBdr>
                <w:top w:val="none" w:sz="0" w:space="0" w:color="auto"/>
                <w:left w:val="none" w:sz="0" w:space="0" w:color="auto"/>
                <w:bottom w:val="none" w:sz="0" w:space="0" w:color="auto"/>
                <w:right w:val="none" w:sz="0" w:space="0" w:color="auto"/>
              </w:divBdr>
              <w:divsChild>
                <w:div w:id="617491129">
                  <w:marLeft w:val="0"/>
                  <w:marRight w:val="0"/>
                  <w:marTop w:val="0"/>
                  <w:marBottom w:val="0"/>
                  <w:divBdr>
                    <w:top w:val="none" w:sz="0" w:space="0" w:color="auto"/>
                    <w:left w:val="none" w:sz="0" w:space="0" w:color="auto"/>
                    <w:bottom w:val="none" w:sz="0" w:space="0" w:color="auto"/>
                    <w:right w:val="none" w:sz="0" w:space="0" w:color="auto"/>
                  </w:divBdr>
                  <w:divsChild>
                    <w:div w:id="85997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73966">
      <w:bodyDiv w:val="1"/>
      <w:marLeft w:val="0"/>
      <w:marRight w:val="0"/>
      <w:marTop w:val="0"/>
      <w:marBottom w:val="0"/>
      <w:divBdr>
        <w:top w:val="none" w:sz="0" w:space="0" w:color="auto"/>
        <w:left w:val="none" w:sz="0" w:space="0" w:color="auto"/>
        <w:bottom w:val="none" w:sz="0" w:space="0" w:color="auto"/>
        <w:right w:val="none" w:sz="0" w:space="0" w:color="auto"/>
      </w:divBdr>
      <w:divsChild>
        <w:div w:id="434592313">
          <w:marLeft w:val="0"/>
          <w:marRight w:val="0"/>
          <w:marTop w:val="0"/>
          <w:marBottom w:val="0"/>
          <w:divBdr>
            <w:top w:val="none" w:sz="0" w:space="0" w:color="auto"/>
            <w:left w:val="none" w:sz="0" w:space="0" w:color="auto"/>
            <w:bottom w:val="none" w:sz="0" w:space="0" w:color="auto"/>
            <w:right w:val="none" w:sz="0" w:space="0" w:color="auto"/>
          </w:divBdr>
          <w:divsChild>
            <w:div w:id="786659077">
              <w:marLeft w:val="0"/>
              <w:marRight w:val="0"/>
              <w:marTop w:val="0"/>
              <w:marBottom w:val="0"/>
              <w:divBdr>
                <w:top w:val="none" w:sz="0" w:space="0" w:color="auto"/>
                <w:left w:val="none" w:sz="0" w:space="0" w:color="auto"/>
                <w:bottom w:val="none" w:sz="0" w:space="0" w:color="auto"/>
                <w:right w:val="none" w:sz="0" w:space="0" w:color="auto"/>
              </w:divBdr>
              <w:divsChild>
                <w:div w:id="33242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662403">
      <w:bodyDiv w:val="1"/>
      <w:marLeft w:val="0"/>
      <w:marRight w:val="0"/>
      <w:marTop w:val="0"/>
      <w:marBottom w:val="0"/>
      <w:divBdr>
        <w:top w:val="none" w:sz="0" w:space="0" w:color="auto"/>
        <w:left w:val="none" w:sz="0" w:space="0" w:color="auto"/>
        <w:bottom w:val="none" w:sz="0" w:space="0" w:color="auto"/>
        <w:right w:val="none" w:sz="0" w:space="0" w:color="auto"/>
      </w:divBdr>
      <w:divsChild>
        <w:div w:id="343559767">
          <w:marLeft w:val="0"/>
          <w:marRight w:val="0"/>
          <w:marTop w:val="0"/>
          <w:marBottom w:val="0"/>
          <w:divBdr>
            <w:top w:val="none" w:sz="0" w:space="0" w:color="auto"/>
            <w:left w:val="none" w:sz="0" w:space="0" w:color="auto"/>
            <w:bottom w:val="none" w:sz="0" w:space="0" w:color="auto"/>
            <w:right w:val="none" w:sz="0" w:space="0" w:color="auto"/>
          </w:divBdr>
          <w:divsChild>
            <w:div w:id="746070215">
              <w:marLeft w:val="0"/>
              <w:marRight w:val="0"/>
              <w:marTop w:val="0"/>
              <w:marBottom w:val="0"/>
              <w:divBdr>
                <w:top w:val="none" w:sz="0" w:space="0" w:color="auto"/>
                <w:left w:val="none" w:sz="0" w:space="0" w:color="auto"/>
                <w:bottom w:val="none" w:sz="0" w:space="0" w:color="auto"/>
                <w:right w:val="none" w:sz="0" w:space="0" w:color="auto"/>
              </w:divBdr>
              <w:divsChild>
                <w:div w:id="1849826657">
                  <w:marLeft w:val="0"/>
                  <w:marRight w:val="0"/>
                  <w:marTop w:val="0"/>
                  <w:marBottom w:val="0"/>
                  <w:divBdr>
                    <w:top w:val="none" w:sz="0" w:space="0" w:color="auto"/>
                    <w:left w:val="none" w:sz="0" w:space="0" w:color="auto"/>
                    <w:bottom w:val="none" w:sz="0" w:space="0" w:color="auto"/>
                    <w:right w:val="none" w:sz="0" w:space="0" w:color="auto"/>
                  </w:divBdr>
                  <w:divsChild>
                    <w:div w:id="1651786286">
                      <w:marLeft w:val="0"/>
                      <w:marRight w:val="0"/>
                      <w:marTop w:val="0"/>
                      <w:marBottom w:val="0"/>
                      <w:divBdr>
                        <w:top w:val="none" w:sz="0" w:space="0" w:color="auto"/>
                        <w:left w:val="none" w:sz="0" w:space="0" w:color="auto"/>
                        <w:bottom w:val="none" w:sz="0" w:space="0" w:color="auto"/>
                        <w:right w:val="none" w:sz="0" w:space="0" w:color="auto"/>
                      </w:divBdr>
                      <w:divsChild>
                        <w:div w:id="1124228555">
                          <w:marLeft w:val="0"/>
                          <w:marRight w:val="0"/>
                          <w:marTop w:val="0"/>
                          <w:marBottom w:val="0"/>
                          <w:divBdr>
                            <w:top w:val="none" w:sz="0" w:space="0" w:color="auto"/>
                            <w:left w:val="none" w:sz="0" w:space="0" w:color="auto"/>
                            <w:bottom w:val="none" w:sz="0" w:space="0" w:color="auto"/>
                            <w:right w:val="none" w:sz="0" w:space="0" w:color="auto"/>
                          </w:divBdr>
                          <w:divsChild>
                            <w:div w:id="583999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539271">
      <w:bodyDiv w:val="1"/>
      <w:marLeft w:val="0"/>
      <w:marRight w:val="0"/>
      <w:marTop w:val="0"/>
      <w:marBottom w:val="0"/>
      <w:divBdr>
        <w:top w:val="none" w:sz="0" w:space="0" w:color="auto"/>
        <w:left w:val="none" w:sz="0" w:space="0" w:color="auto"/>
        <w:bottom w:val="none" w:sz="0" w:space="0" w:color="auto"/>
        <w:right w:val="none" w:sz="0" w:space="0" w:color="auto"/>
      </w:divBdr>
      <w:divsChild>
        <w:div w:id="2000422608">
          <w:marLeft w:val="0"/>
          <w:marRight w:val="0"/>
          <w:marTop w:val="0"/>
          <w:marBottom w:val="0"/>
          <w:divBdr>
            <w:top w:val="none" w:sz="0" w:space="0" w:color="auto"/>
            <w:left w:val="none" w:sz="0" w:space="0" w:color="auto"/>
            <w:bottom w:val="none" w:sz="0" w:space="0" w:color="auto"/>
            <w:right w:val="none" w:sz="0" w:space="0" w:color="auto"/>
          </w:divBdr>
          <w:divsChild>
            <w:div w:id="209344184">
              <w:marLeft w:val="0"/>
              <w:marRight w:val="0"/>
              <w:marTop w:val="0"/>
              <w:marBottom w:val="0"/>
              <w:divBdr>
                <w:top w:val="none" w:sz="0" w:space="0" w:color="auto"/>
                <w:left w:val="none" w:sz="0" w:space="0" w:color="auto"/>
                <w:bottom w:val="none" w:sz="0" w:space="0" w:color="auto"/>
                <w:right w:val="none" w:sz="0" w:space="0" w:color="auto"/>
              </w:divBdr>
              <w:divsChild>
                <w:div w:id="2050911240">
                  <w:marLeft w:val="0"/>
                  <w:marRight w:val="0"/>
                  <w:marTop w:val="0"/>
                  <w:marBottom w:val="0"/>
                  <w:divBdr>
                    <w:top w:val="none" w:sz="0" w:space="0" w:color="auto"/>
                    <w:left w:val="none" w:sz="0" w:space="0" w:color="auto"/>
                    <w:bottom w:val="none" w:sz="0" w:space="0" w:color="auto"/>
                    <w:right w:val="none" w:sz="0" w:space="0" w:color="auto"/>
                  </w:divBdr>
                  <w:divsChild>
                    <w:div w:id="709190653">
                      <w:marLeft w:val="0"/>
                      <w:marRight w:val="0"/>
                      <w:marTop w:val="0"/>
                      <w:marBottom w:val="0"/>
                      <w:divBdr>
                        <w:top w:val="none" w:sz="0" w:space="0" w:color="auto"/>
                        <w:left w:val="none" w:sz="0" w:space="0" w:color="auto"/>
                        <w:bottom w:val="none" w:sz="0" w:space="0" w:color="auto"/>
                        <w:right w:val="none" w:sz="0" w:space="0" w:color="auto"/>
                      </w:divBdr>
                      <w:divsChild>
                        <w:div w:id="690842522">
                          <w:marLeft w:val="0"/>
                          <w:marRight w:val="0"/>
                          <w:marTop w:val="0"/>
                          <w:marBottom w:val="0"/>
                          <w:divBdr>
                            <w:top w:val="none" w:sz="0" w:space="0" w:color="auto"/>
                            <w:left w:val="none" w:sz="0" w:space="0" w:color="auto"/>
                            <w:bottom w:val="none" w:sz="0" w:space="0" w:color="auto"/>
                            <w:right w:val="none" w:sz="0" w:space="0" w:color="auto"/>
                          </w:divBdr>
                          <w:divsChild>
                            <w:div w:id="21184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3368927">
      <w:bodyDiv w:val="1"/>
      <w:marLeft w:val="0"/>
      <w:marRight w:val="0"/>
      <w:marTop w:val="0"/>
      <w:marBottom w:val="0"/>
      <w:divBdr>
        <w:top w:val="none" w:sz="0" w:space="0" w:color="auto"/>
        <w:left w:val="none" w:sz="0" w:space="0" w:color="auto"/>
        <w:bottom w:val="none" w:sz="0" w:space="0" w:color="auto"/>
        <w:right w:val="none" w:sz="0" w:space="0" w:color="auto"/>
      </w:divBdr>
    </w:div>
    <w:div w:id="2048286310">
      <w:bodyDiv w:val="1"/>
      <w:marLeft w:val="0"/>
      <w:marRight w:val="0"/>
      <w:marTop w:val="0"/>
      <w:marBottom w:val="0"/>
      <w:divBdr>
        <w:top w:val="none" w:sz="0" w:space="0" w:color="auto"/>
        <w:left w:val="none" w:sz="0" w:space="0" w:color="auto"/>
        <w:bottom w:val="none" w:sz="0" w:space="0" w:color="auto"/>
        <w:right w:val="none" w:sz="0" w:space="0" w:color="auto"/>
      </w:divBdr>
      <w:divsChild>
        <w:div w:id="401874692">
          <w:marLeft w:val="0"/>
          <w:marRight w:val="0"/>
          <w:marTop w:val="0"/>
          <w:marBottom w:val="0"/>
          <w:divBdr>
            <w:top w:val="none" w:sz="0" w:space="0" w:color="auto"/>
            <w:left w:val="none" w:sz="0" w:space="0" w:color="auto"/>
            <w:bottom w:val="none" w:sz="0" w:space="0" w:color="auto"/>
            <w:right w:val="none" w:sz="0" w:space="0" w:color="auto"/>
          </w:divBdr>
          <w:divsChild>
            <w:div w:id="1521167560">
              <w:marLeft w:val="0"/>
              <w:marRight w:val="0"/>
              <w:marTop w:val="0"/>
              <w:marBottom w:val="0"/>
              <w:divBdr>
                <w:top w:val="none" w:sz="0" w:space="0" w:color="auto"/>
                <w:left w:val="none" w:sz="0" w:space="0" w:color="auto"/>
                <w:bottom w:val="none" w:sz="0" w:space="0" w:color="auto"/>
                <w:right w:val="none" w:sz="0" w:space="0" w:color="auto"/>
              </w:divBdr>
              <w:divsChild>
                <w:div w:id="778332320">
                  <w:marLeft w:val="0"/>
                  <w:marRight w:val="0"/>
                  <w:marTop w:val="0"/>
                  <w:marBottom w:val="0"/>
                  <w:divBdr>
                    <w:top w:val="none" w:sz="0" w:space="0" w:color="auto"/>
                    <w:left w:val="none" w:sz="0" w:space="0" w:color="auto"/>
                    <w:bottom w:val="none" w:sz="0" w:space="0" w:color="auto"/>
                    <w:right w:val="none" w:sz="0" w:space="0" w:color="auto"/>
                  </w:divBdr>
                  <w:divsChild>
                    <w:div w:id="1121608996">
                      <w:marLeft w:val="0"/>
                      <w:marRight w:val="0"/>
                      <w:marTop w:val="0"/>
                      <w:marBottom w:val="0"/>
                      <w:divBdr>
                        <w:top w:val="none" w:sz="0" w:space="0" w:color="auto"/>
                        <w:left w:val="none" w:sz="0" w:space="0" w:color="auto"/>
                        <w:bottom w:val="none" w:sz="0" w:space="0" w:color="auto"/>
                        <w:right w:val="none" w:sz="0" w:space="0" w:color="auto"/>
                      </w:divBdr>
                      <w:divsChild>
                        <w:div w:id="1856535372">
                          <w:marLeft w:val="0"/>
                          <w:marRight w:val="0"/>
                          <w:marTop w:val="0"/>
                          <w:marBottom w:val="0"/>
                          <w:divBdr>
                            <w:top w:val="none" w:sz="0" w:space="0" w:color="auto"/>
                            <w:left w:val="none" w:sz="0" w:space="0" w:color="auto"/>
                            <w:bottom w:val="none" w:sz="0" w:space="0" w:color="auto"/>
                            <w:right w:val="none" w:sz="0" w:space="0" w:color="auto"/>
                          </w:divBdr>
                          <w:divsChild>
                            <w:div w:id="97560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772064">
      <w:bodyDiv w:val="1"/>
      <w:marLeft w:val="0"/>
      <w:marRight w:val="0"/>
      <w:marTop w:val="0"/>
      <w:marBottom w:val="0"/>
      <w:divBdr>
        <w:top w:val="none" w:sz="0" w:space="0" w:color="auto"/>
        <w:left w:val="none" w:sz="0" w:space="0" w:color="auto"/>
        <w:bottom w:val="none" w:sz="0" w:space="0" w:color="auto"/>
        <w:right w:val="none" w:sz="0" w:space="0" w:color="auto"/>
      </w:divBdr>
      <w:divsChild>
        <w:div w:id="1829666451">
          <w:marLeft w:val="0"/>
          <w:marRight w:val="0"/>
          <w:marTop w:val="0"/>
          <w:marBottom w:val="0"/>
          <w:divBdr>
            <w:top w:val="single" w:sz="6" w:space="0" w:color="5056A3"/>
            <w:left w:val="single" w:sz="6" w:space="0" w:color="5056A3"/>
            <w:bottom w:val="single" w:sz="6" w:space="0" w:color="5056A3"/>
            <w:right w:val="single" w:sz="6" w:space="0" w:color="5056A3"/>
          </w:divBdr>
          <w:divsChild>
            <w:div w:id="5375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ecd-ilibrary.org/social-issues-migration-health/sickness-disability-and-work-breaking-the-barriers_9789264088856-en" TargetMode="External"/><Relationship Id="rId1" Type="http://schemas.openxmlformats.org/officeDocument/2006/relationships/hyperlink" Target="http://www.ilo.org/wcmsp5/groups/public/---ed_emp/documents/publication/wcms_14095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DEA385-A127-4E44-90B3-D2DC20329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6649</Words>
  <Characters>37900</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44461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splmap</dc:creator>
  <cp:lastModifiedBy>AthenaDesktop</cp:lastModifiedBy>
  <cp:revision>2</cp:revision>
  <cp:lastPrinted>2015-02-25T00:25:00Z</cp:lastPrinted>
  <dcterms:created xsi:type="dcterms:W3CDTF">2016-11-03T10:19:00Z</dcterms:created>
  <dcterms:modified xsi:type="dcterms:W3CDTF">2016-11-03T10:19:00Z</dcterms:modified>
</cp:coreProperties>
</file>