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92F8E" w14:textId="52DF2351" w:rsidR="005E3788" w:rsidRPr="00B74D0E" w:rsidRDefault="00B74D0E">
      <w:pPr>
        <w:spacing w:line="360" w:lineRule="auto"/>
        <w:rPr>
          <w:rFonts w:cs="Times New Roman"/>
          <w:b/>
          <w:sz w:val="24"/>
          <w:szCs w:val="24"/>
          <w:lang w:val="en-GB"/>
        </w:rPr>
      </w:pPr>
      <w:r>
        <w:rPr>
          <w:rFonts w:cs="Times New Roman"/>
          <w:b/>
          <w:sz w:val="24"/>
          <w:szCs w:val="24"/>
          <w:lang w:val="en-GB"/>
        </w:rPr>
        <w:t xml:space="preserve">DEALING WITH A ZOMBIE IN EU LAW: THE REGULATORY COMITOLOGY PROCEDURE </w:t>
      </w:r>
      <w:r w:rsidR="00547C25">
        <w:rPr>
          <w:rFonts w:cs="Times New Roman"/>
          <w:b/>
          <w:sz w:val="24"/>
          <w:szCs w:val="24"/>
          <w:lang w:val="en-GB"/>
        </w:rPr>
        <w:t>WITH SCRUTINY</w:t>
      </w:r>
    </w:p>
    <w:p w14:paraId="4FD224D7" w14:textId="4A6985B1" w:rsidR="005E3788" w:rsidRPr="00547C25" w:rsidRDefault="00B74D0E">
      <w:pPr>
        <w:spacing w:line="360" w:lineRule="auto"/>
        <w:rPr>
          <w:rFonts w:cs="Times New Roman"/>
          <w:sz w:val="24"/>
          <w:szCs w:val="24"/>
          <w:lang w:val="en-GB"/>
        </w:rPr>
      </w:pPr>
      <w:r w:rsidRPr="00547C25">
        <w:rPr>
          <w:rFonts w:cs="Times New Roman"/>
          <w:sz w:val="24"/>
          <w:szCs w:val="24"/>
          <w:lang w:val="en-GB"/>
        </w:rPr>
        <w:t xml:space="preserve">Joined </w:t>
      </w:r>
      <w:r w:rsidRPr="00547C25">
        <w:rPr>
          <w:rFonts w:cs="Times New Roman"/>
          <w:sz w:val="24"/>
          <w:szCs w:val="24"/>
          <w:lang w:val="en-GB"/>
        </w:rPr>
        <w:t>C</w:t>
      </w:r>
      <w:r w:rsidRPr="00547C25">
        <w:rPr>
          <w:rFonts w:cs="Times New Roman"/>
          <w:sz w:val="24"/>
          <w:szCs w:val="24"/>
          <w:lang w:val="en-GB"/>
        </w:rPr>
        <w:t>ases T</w:t>
      </w:r>
      <w:r w:rsidRPr="00547C25">
        <w:rPr>
          <w:rFonts w:ascii="Cambria Math" w:hAnsi="Cambria Math" w:cs="Cambria Math"/>
          <w:sz w:val="24"/>
          <w:szCs w:val="24"/>
          <w:lang w:val="en-GB"/>
        </w:rPr>
        <w:t>‑</w:t>
      </w:r>
      <w:r w:rsidRPr="00547C25">
        <w:rPr>
          <w:rFonts w:cs="Times New Roman"/>
          <w:sz w:val="24"/>
          <w:szCs w:val="24"/>
          <w:lang w:val="en-GB"/>
        </w:rPr>
        <w:t xml:space="preserve">261/13 </w:t>
      </w:r>
      <w:r w:rsidRPr="00547C25">
        <w:rPr>
          <w:rFonts w:cs="Times New Roman"/>
          <w:sz w:val="24"/>
          <w:szCs w:val="24"/>
          <w:lang w:val="en-GB"/>
        </w:rPr>
        <w:t>and</w:t>
      </w:r>
      <w:r w:rsidRPr="00547C25">
        <w:rPr>
          <w:rFonts w:cs="Times New Roman"/>
          <w:sz w:val="24"/>
          <w:szCs w:val="24"/>
          <w:lang w:val="en-GB"/>
        </w:rPr>
        <w:t xml:space="preserve"> T</w:t>
      </w:r>
      <w:r w:rsidRPr="00547C25">
        <w:rPr>
          <w:rFonts w:ascii="Cambria Math" w:hAnsi="Cambria Math" w:cs="Cambria Math"/>
          <w:sz w:val="24"/>
          <w:szCs w:val="24"/>
          <w:lang w:val="en-GB"/>
        </w:rPr>
        <w:t>‑</w:t>
      </w:r>
      <w:r w:rsidRPr="00547C25">
        <w:rPr>
          <w:rFonts w:cs="Times New Roman"/>
          <w:sz w:val="24"/>
          <w:szCs w:val="24"/>
          <w:lang w:val="en-GB"/>
        </w:rPr>
        <w:t>86/14</w:t>
      </w:r>
      <w:r w:rsidRPr="00547C25">
        <w:rPr>
          <w:rFonts w:cs="Times New Roman"/>
          <w:sz w:val="24"/>
          <w:szCs w:val="24"/>
          <w:lang w:val="en-GB"/>
        </w:rPr>
        <w:t xml:space="preserve"> </w:t>
      </w:r>
      <w:r w:rsidRPr="00547C25">
        <w:rPr>
          <w:rFonts w:cs="Times New Roman"/>
          <w:i/>
          <w:sz w:val="24"/>
          <w:szCs w:val="24"/>
          <w:lang w:val="en-GB"/>
        </w:rPr>
        <w:t>Netherlands v. Commission</w:t>
      </w:r>
      <w:r w:rsidRPr="00547C25">
        <w:rPr>
          <w:rFonts w:cs="Times New Roman"/>
          <w:sz w:val="24"/>
          <w:szCs w:val="24"/>
          <w:lang w:val="en-GB"/>
        </w:rPr>
        <w:t>,</w:t>
      </w:r>
      <w:r w:rsidRPr="00547C25">
        <w:rPr>
          <w:rFonts w:cs="Times New Roman"/>
          <w:sz w:val="24"/>
          <w:szCs w:val="24"/>
          <w:lang w:val="en-GB"/>
        </w:rPr>
        <w:t xml:space="preserve"> </w:t>
      </w:r>
      <w:r w:rsidRPr="00547C25">
        <w:rPr>
          <w:rFonts w:cs="Times New Roman"/>
          <w:sz w:val="24"/>
          <w:szCs w:val="24"/>
          <w:lang w:val="en-GB"/>
        </w:rPr>
        <w:t>EU:T:2015:671</w:t>
      </w:r>
    </w:p>
    <w:p w14:paraId="4BDC262B" w14:textId="77777777" w:rsidR="005E3788" w:rsidRPr="00B74D0E" w:rsidRDefault="005E3788">
      <w:pPr>
        <w:spacing w:line="360" w:lineRule="auto"/>
        <w:rPr>
          <w:rFonts w:cs="Times New Roman"/>
          <w:sz w:val="24"/>
          <w:szCs w:val="24"/>
          <w:lang w:val="en-GB"/>
        </w:rPr>
      </w:pPr>
    </w:p>
    <w:p w14:paraId="57B12632" w14:textId="4D3AB316" w:rsidR="005E3788" w:rsidRPr="00B74D0E" w:rsidRDefault="00B74D0E">
      <w:pPr>
        <w:spacing w:line="360" w:lineRule="auto"/>
        <w:rPr>
          <w:rFonts w:cs="Times New Roman"/>
          <w:sz w:val="24"/>
          <w:szCs w:val="24"/>
          <w:lang w:val="en-GB"/>
        </w:rPr>
      </w:pPr>
      <w:r w:rsidRPr="00B74D0E">
        <w:rPr>
          <w:rFonts w:cs="Times New Roman"/>
          <w:sz w:val="24"/>
          <w:szCs w:val="24"/>
          <w:lang w:val="en-GB"/>
        </w:rPr>
        <w:t>Merijn Chamon</w:t>
      </w:r>
      <w:r>
        <w:rPr>
          <w:rStyle w:val="Voetnootmarkering"/>
          <w:rFonts w:cs="Times New Roman"/>
          <w:sz w:val="24"/>
          <w:szCs w:val="24"/>
          <w:lang w:val="fr-FR"/>
        </w:rPr>
        <w:footnoteReference w:customMarkFollows="1" w:id="1"/>
        <w:sym w:font="Symbol" w:char="F02A"/>
      </w:r>
    </w:p>
    <w:p w14:paraId="42133F8E" w14:textId="77777777" w:rsidR="005E3788" w:rsidRPr="00547C25" w:rsidRDefault="00B74D0E">
      <w:pPr>
        <w:spacing w:line="360" w:lineRule="auto"/>
        <w:rPr>
          <w:rFonts w:cs="Times New Roman"/>
          <w:b/>
          <w:sz w:val="24"/>
          <w:szCs w:val="24"/>
          <w:lang w:val="en-GB"/>
        </w:rPr>
      </w:pPr>
      <w:r w:rsidRPr="00547C25">
        <w:rPr>
          <w:rFonts w:cs="Times New Roman"/>
          <w:b/>
          <w:sz w:val="24"/>
          <w:szCs w:val="24"/>
          <w:lang w:val="en-GB"/>
        </w:rPr>
        <w:t>§ 1 INTRODUCTION</w:t>
      </w:r>
    </w:p>
    <w:p w14:paraId="7779F9EF" w14:textId="3922F693" w:rsidR="005E3788" w:rsidRDefault="00B74D0E">
      <w:pPr>
        <w:spacing w:line="360" w:lineRule="auto"/>
        <w:rPr>
          <w:rFonts w:cs="Times New Roman"/>
          <w:sz w:val="24"/>
          <w:szCs w:val="24"/>
          <w:lang w:val="en-GB"/>
        </w:rPr>
      </w:pPr>
      <w:r>
        <w:rPr>
          <w:rFonts w:cs="Times New Roman"/>
          <w:sz w:val="24"/>
          <w:szCs w:val="24"/>
          <w:lang w:val="en-GB"/>
        </w:rPr>
        <w:t>While</w:t>
      </w:r>
      <w:r>
        <w:rPr>
          <w:rFonts w:cs="Times New Roman"/>
          <w:sz w:val="24"/>
          <w:szCs w:val="24"/>
          <w:lang w:val="en-GB"/>
        </w:rPr>
        <w:t xml:space="preserve"> the case</w:t>
      </w:r>
      <w:r>
        <w:rPr>
          <w:rFonts w:cs="Times New Roman"/>
          <w:sz w:val="24"/>
          <w:szCs w:val="24"/>
          <w:lang w:val="en-GB"/>
        </w:rPr>
        <w:t xml:space="preserve"> </w:t>
      </w:r>
      <w:r>
        <w:rPr>
          <w:rFonts w:cs="Times New Roman"/>
          <w:i/>
          <w:sz w:val="24"/>
          <w:szCs w:val="24"/>
          <w:lang w:val="en-GB"/>
        </w:rPr>
        <w:t>Netherlands v. Commission</w:t>
      </w:r>
      <w:r>
        <w:rPr>
          <w:rFonts w:cs="Times New Roman"/>
          <w:sz w:val="24"/>
          <w:szCs w:val="24"/>
          <w:lang w:val="en-GB"/>
        </w:rPr>
        <w:t xml:space="preserve"> deals with a controversy in the specific area of statistical cooperation, it is relevant for almost </w:t>
      </w:r>
      <w:r>
        <w:rPr>
          <w:rFonts w:cs="Times New Roman"/>
          <w:sz w:val="24"/>
          <w:szCs w:val="24"/>
          <w:lang w:val="en-GB"/>
        </w:rPr>
        <w:t>every</w:t>
      </w:r>
      <w:r>
        <w:rPr>
          <w:rFonts w:cs="Times New Roman"/>
          <w:sz w:val="24"/>
          <w:szCs w:val="24"/>
          <w:lang w:val="en-GB"/>
        </w:rPr>
        <w:t xml:space="preserve"> area of EU law because the dispute actually revolved around the limits to the Commissi</w:t>
      </w:r>
      <w:r>
        <w:rPr>
          <w:rFonts w:cs="Times New Roman"/>
          <w:sz w:val="24"/>
          <w:szCs w:val="24"/>
          <w:lang w:val="en-GB"/>
        </w:rPr>
        <w:t xml:space="preserve">on’s power when it implements or supplements legislative acts. </w:t>
      </w:r>
      <w:r>
        <w:rPr>
          <w:rFonts w:cs="Times New Roman"/>
          <w:sz w:val="24"/>
          <w:szCs w:val="24"/>
          <w:lang w:val="en-GB"/>
        </w:rPr>
        <w:t xml:space="preserve">Although </w:t>
      </w:r>
      <w:r>
        <w:rPr>
          <w:rFonts w:cs="Times New Roman"/>
          <w:sz w:val="24"/>
          <w:szCs w:val="24"/>
          <w:lang w:val="en-GB"/>
        </w:rPr>
        <w:t>the case was ruled some six years</w:t>
      </w:r>
      <w:r>
        <w:rPr>
          <w:rFonts w:cs="Times New Roman"/>
          <w:sz w:val="24"/>
          <w:szCs w:val="24"/>
          <w:lang w:val="en-GB"/>
        </w:rPr>
        <w:t xml:space="preserve"> after</w:t>
      </w:r>
      <w:r>
        <w:rPr>
          <w:rFonts w:cs="Times New Roman"/>
          <w:sz w:val="24"/>
          <w:szCs w:val="24"/>
          <w:lang w:val="en-GB"/>
        </w:rPr>
        <w:t xml:space="preserve"> the entry into force of the Lisbon Treaty, it still dealt with a pre-Lisbon comitology procedure. As will be shown, the case </w:t>
      </w:r>
      <w:r>
        <w:rPr>
          <w:rFonts w:cs="Times New Roman"/>
          <w:sz w:val="24"/>
          <w:szCs w:val="24"/>
          <w:lang w:val="en-GB"/>
        </w:rPr>
        <w:t>neatly illustrates the difficulties in putting into effect the Lisbon Treaty’s reform in the area of executive decision-making and specifically the issue which Craig dubbed as the ‘transitional classification problem’.</w:t>
      </w:r>
      <w:bookmarkStart w:id="0" w:name="_Ref447540143"/>
      <w:r>
        <w:rPr>
          <w:rStyle w:val="Voetnootmarkering"/>
          <w:rFonts w:cs="Times New Roman"/>
          <w:sz w:val="24"/>
          <w:szCs w:val="24"/>
          <w:lang w:val="en-GB"/>
        </w:rPr>
        <w:footnoteReference w:id="2"/>
      </w:r>
      <w:bookmarkEnd w:id="0"/>
      <w:r>
        <w:rPr>
          <w:rFonts w:cs="Times New Roman"/>
          <w:sz w:val="24"/>
          <w:szCs w:val="24"/>
          <w:lang w:val="en-GB"/>
        </w:rPr>
        <w:t xml:space="preserve"> </w:t>
      </w:r>
    </w:p>
    <w:p w14:paraId="1D762D61" w14:textId="77777777" w:rsidR="005E3788" w:rsidRDefault="005E3788">
      <w:pPr>
        <w:spacing w:line="360" w:lineRule="auto"/>
        <w:rPr>
          <w:rFonts w:cs="Times New Roman"/>
          <w:sz w:val="24"/>
          <w:szCs w:val="24"/>
          <w:lang w:val="en-GB"/>
        </w:rPr>
      </w:pPr>
    </w:p>
    <w:p w14:paraId="59B796E9" w14:textId="0D5A48B0" w:rsidR="005E3788" w:rsidRDefault="00B74D0E">
      <w:pPr>
        <w:spacing w:line="360" w:lineRule="auto"/>
        <w:rPr>
          <w:rFonts w:cs="Times New Roman"/>
          <w:b/>
          <w:sz w:val="24"/>
          <w:szCs w:val="24"/>
          <w:lang w:val="en-GB"/>
        </w:rPr>
      </w:pPr>
      <w:r>
        <w:rPr>
          <w:rFonts w:cs="Times New Roman"/>
          <w:b/>
          <w:sz w:val="24"/>
          <w:szCs w:val="24"/>
          <w:lang w:val="en-GB"/>
        </w:rPr>
        <w:t>§</w:t>
      </w:r>
      <w:r>
        <w:rPr>
          <w:rFonts w:cs="Times New Roman"/>
          <w:b/>
          <w:sz w:val="24"/>
          <w:szCs w:val="24"/>
          <w:lang w:val="en-GB"/>
        </w:rPr>
        <w:t xml:space="preserve">2 PRELIMINARY REMARKS ON </w:t>
      </w:r>
      <w:r>
        <w:rPr>
          <w:rFonts w:cs="Times New Roman"/>
          <w:b/>
          <w:sz w:val="24"/>
          <w:szCs w:val="24"/>
          <w:lang w:val="en-GB"/>
        </w:rPr>
        <w:t>COMITOLOGY</w:t>
      </w:r>
    </w:p>
    <w:p w14:paraId="73255D15" w14:textId="4A929BCD" w:rsidR="005E3788" w:rsidRDefault="00B74D0E">
      <w:pPr>
        <w:spacing w:line="360" w:lineRule="auto"/>
        <w:rPr>
          <w:rFonts w:cs="Times New Roman"/>
          <w:sz w:val="24"/>
          <w:szCs w:val="24"/>
          <w:lang w:val="en-GB"/>
        </w:rPr>
      </w:pPr>
      <w:r>
        <w:rPr>
          <w:rFonts w:cs="Times New Roman"/>
          <w:sz w:val="24"/>
          <w:szCs w:val="24"/>
          <w:lang w:val="en-GB"/>
        </w:rPr>
        <w:t xml:space="preserve">In order to properly understand the legal issues posed by </w:t>
      </w:r>
      <w:r>
        <w:rPr>
          <w:rFonts w:cs="Times New Roman"/>
          <w:i/>
          <w:sz w:val="24"/>
          <w:szCs w:val="24"/>
          <w:lang w:val="en-GB"/>
        </w:rPr>
        <w:t>Netherlands v. Commission</w:t>
      </w:r>
      <w:r>
        <w:rPr>
          <w:rFonts w:cs="Times New Roman"/>
          <w:sz w:val="24"/>
          <w:szCs w:val="24"/>
          <w:lang w:val="en-GB"/>
        </w:rPr>
        <w:t xml:space="preserve"> it is necessary to briefly present the comitology system, pre- and post-Lisbon.</w:t>
      </w:r>
      <w:r>
        <w:rPr>
          <w:rStyle w:val="Voetnootmarkering"/>
          <w:rFonts w:cs="Times New Roman"/>
          <w:sz w:val="24"/>
          <w:szCs w:val="24"/>
          <w:lang w:val="en-GB"/>
        </w:rPr>
        <w:footnoteReference w:id="3"/>
      </w:r>
      <w:r>
        <w:rPr>
          <w:rFonts w:cs="Times New Roman"/>
          <w:sz w:val="24"/>
          <w:szCs w:val="24"/>
          <w:lang w:val="en-GB"/>
        </w:rPr>
        <w:t xml:space="preserve"> Pre-Lisbon, the comitology system found its legal basis in </w:t>
      </w:r>
      <w:r>
        <w:rPr>
          <w:rFonts w:cs="Times New Roman"/>
          <w:sz w:val="24"/>
          <w:szCs w:val="24"/>
          <w:lang w:val="en-GB"/>
        </w:rPr>
        <w:t xml:space="preserve">ex </w:t>
      </w:r>
      <w:r>
        <w:rPr>
          <w:rFonts w:cs="Times New Roman"/>
          <w:sz w:val="24"/>
          <w:szCs w:val="24"/>
          <w:lang w:val="en-GB"/>
        </w:rPr>
        <w:t>Article 202 EC, wh</w:t>
      </w:r>
      <w:r>
        <w:rPr>
          <w:rFonts w:cs="Times New Roman"/>
          <w:sz w:val="24"/>
          <w:szCs w:val="24"/>
          <w:lang w:val="en-GB"/>
        </w:rPr>
        <w:t>ereby the legislator (actually the Council) could confer implementing powers on the Commission. When exercising these powers, the Commission was assisted by committees composed of national experts (hence comitology) and the notion of ‘implementation’ was g</w:t>
      </w:r>
      <w:r>
        <w:rPr>
          <w:rFonts w:cs="Times New Roman"/>
          <w:sz w:val="24"/>
          <w:szCs w:val="24"/>
          <w:lang w:val="en-GB"/>
        </w:rPr>
        <w:t xml:space="preserve">iven a broad meaning, encompassing both implementation in the strict sense as well as amending formal legislation. The precise procedure to be followed by the Commission was laid down in the (second) comitology decision, which </w:t>
      </w:r>
      <w:r>
        <w:rPr>
          <w:rFonts w:cs="Times New Roman"/>
          <w:sz w:val="24"/>
          <w:szCs w:val="24"/>
          <w:lang w:val="en-GB"/>
        </w:rPr>
        <w:t>contained a number o</w:t>
      </w:r>
      <w:r>
        <w:rPr>
          <w:rFonts w:cs="Times New Roman"/>
          <w:sz w:val="24"/>
          <w:szCs w:val="24"/>
          <w:lang w:val="en-GB"/>
        </w:rPr>
        <w:t xml:space="preserve">f different procedures. The </w:t>
      </w:r>
      <w:r>
        <w:rPr>
          <w:rFonts w:cs="Times New Roman"/>
          <w:sz w:val="24"/>
          <w:szCs w:val="24"/>
          <w:lang w:val="en-GB"/>
        </w:rPr>
        <w:t xml:space="preserve">weightiest </w:t>
      </w:r>
      <w:r>
        <w:rPr>
          <w:rFonts w:cs="Times New Roman"/>
          <w:sz w:val="24"/>
          <w:szCs w:val="24"/>
          <w:lang w:val="en-GB"/>
        </w:rPr>
        <w:lastRenderedPageBreak/>
        <w:t xml:space="preserve">of those was the regulatory procedure with scrutiny (PRAC), which allowed both the Council and the Parliament to veto a </w:t>
      </w:r>
      <w:r>
        <w:rPr>
          <w:rFonts w:cs="Times New Roman"/>
          <w:sz w:val="24"/>
          <w:szCs w:val="24"/>
          <w:lang w:val="en-GB"/>
        </w:rPr>
        <w:t>draft decision</w:t>
      </w:r>
      <w:r>
        <w:rPr>
          <w:rFonts w:cs="Times New Roman"/>
          <w:sz w:val="24"/>
          <w:szCs w:val="24"/>
          <w:lang w:val="en-GB"/>
        </w:rPr>
        <w:t xml:space="preserve"> of the Commission</w:t>
      </w:r>
      <w:r>
        <w:rPr>
          <w:rFonts w:cs="Times New Roman"/>
          <w:sz w:val="24"/>
          <w:szCs w:val="24"/>
          <w:lang w:val="en-GB"/>
        </w:rPr>
        <w:t xml:space="preserve"> (even if the committee had expressed a posit</w:t>
      </w:r>
      <w:r>
        <w:rPr>
          <w:rFonts w:cs="Times New Roman"/>
          <w:sz w:val="24"/>
          <w:szCs w:val="24"/>
          <w:lang w:val="en-GB"/>
        </w:rPr>
        <w:t>ive opinion on the draft). However, the PRAC only applied when a legislative act adopted pursuant to the co-decision procedure was amended on its non-essential elements</w:t>
      </w:r>
      <w:r>
        <w:rPr>
          <w:rFonts w:cs="Times New Roman"/>
          <w:sz w:val="24"/>
          <w:szCs w:val="24"/>
          <w:lang w:val="en-GB"/>
        </w:rPr>
        <w:t xml:space="preserve"> through a measure of general scope, where</w:t>
      </w:r>
      <w:r>
        <w:rPr>
          <w:rFonts w:cs="Times New Roman"/>
          <w:sz w:val="24"/>
          <w:szCs w:val="24"/>
          <w:lang w:val="en-GB"/>
        </w:rPr>
        <w:t xml:space="preserve"> amending could mean </w:t>
      </w:r>
      <w:r>
        <w:rPr>
          <w:rFonts w:cs="Times New Roman"/>
          <w:sz w:val="24"/>
          <w:szCs w:val="24"/>
          <w:lang w:val="en-GB"/>
        </w:rPr>
        <w:t>‘</w:t>
      </w:r>
      <w:r w:rsidRPr="00B74D0E">
        <w:rPr>
          <w:rFonts w:cs="Times New Roman"/>
          <w:sz w:val="24"/>
          <w:szCs w:val="24"/>
          <w:lang w:val="en-GB"/>
        </w:rPr>
        <w:t>deleting some of tho</w:t>
      </w:r>
      <w:r w:rsidRPr="00B74D0E">
        <w:rPr>
          <w:rFonts w:cs="Times New Roman"/>
          <w:sz w:val="24"/>
          <w:szCs w:val="24"/>
          <w:lang w:val="en-GB"/>
        </w:rPr>
        <w:t>se elements or by supplementing the instrument by the addition of new non-essential elements</w:t>
      </w:r>
      <w:r w:rsidRPr="00B74D0E">
        <w:rPr>
          <w:rFonts w:cs="Times New Roman"/>
          <w:sz w:val="24"/>
          <w:szCs w:val="24"/>
          <w:lang w:val="en-GB"/>
        </w:rPr>
        <w:t>’</w:t>
      </w:r>
      <w:r>
        <w:rPr>
          <w:rFonts w:cs="Times New Roman"/>
          <w:sz w:val="24"/>
          <w:szCs w:val="24"/>
          <w:lang w:val="en-GB"/>
        </w:rPr>
        <w:t>.</w:t>
      </w:r>
      <w:bookmarkStart w:id="1" w:name="_Ref445484332"/>
      <w:r>
        <w:rPr>
          <w:rStyle w:val="Voetnootmarkering"/>
          <w:rFonts w:cs="Times New Roman"/>
          <w:sz w:val="24"/>
          <w:szCs w:val="24"/>
          <w:lang w:val="en-GB"/>
        </w:rPr>
        <w:footnoteReference w:id="4"/>
      </w:r>
      <w:bookmarkEnd w:id="1"/>
    </w:p>
    <w:p w14:paraId="7B70D2CE" w14:textId="41398D1F" w:rsidR="005E3788" w:rsidRDefault="00B74D0E">
      <w:pPr>
        <w:spacing w:line="360" w:lineRule="auto"/>
        <w:rPr>
          <w:rFonts w:cs="Times New Roman"/>
          <w:sz w:val="24"/>
          <w:szCs w:val="24"/>
          <w:lang w:val="en-GB"/>
        </w:rPr>
      </w:pPr>
      <w:r>
        <w:rPr>
          <w:rFonts w:cs="Times New Roman"/>
          <w:sz w:val="24"/>
          <w:szCs w:val="24"/>
          <w:lang w:val="en-GB"/>
        </w:rPr>
        <w:t>The Treaty of Lisbon reformed the comitology system by making a distinction between implementation in the strict sense through implementing acts (Article 291 T</w:t>
      </w:r>
      <w:r>
        <w:rPr>
          <w:rFonts w:cs="Times New Roman"/>
          <w:sz w:val="24"/>
          <w:szCs w:val="24"/>
          <w:lang w:val="en-GB"/>
        </w:rPr>
        <w:t>FEU) and the amendment or supplementation of legislative acts through delegated acts (Article 290 TFEU). The procedures of the (second) comitology decision were then also replaced by new ones through the comitology regulation adopted on the basis of Articl</w:t>
      </w:r>
      <w:r>
        <w:rPr>
          <w:rFonts w:cs="Times New Roman"/>
          <w:sz w:val="24"/>
          <w:szCs w:val="24"/>
          <w:lang w:val="en-GB"/>
        </w:rPr>
        <w:t>e 291</w:t>
      </w:r>
      <w:r>
        <w:rPr>
          <w:rFonts w:cs="Times New Roman"/>
          <w:sz w:val="24"/>
          <w:szCs w:val="24"/>
          <w:lang w:val="en-GB"/>
        </w:rPr>
        <w:t>(3) TFEU. The exception here was the PRAC, since in most cases the references (in legislative acts) to the PRAC should not be replaced with a reference to a comitology procedure (of the new comitology regulation), but with a reference to the delegate</w:t>
      </w:r>
      <w:r>
        <w:rPr>
          <w:rFonts w:cs="Times New Roman"/>
          <w:sz w:val="24"/>
          <w:szCs w:val="24"/>
          <w:lang w:val="en-GB"/>
        </w:rPr>
        <w:t>d act under Article 290 TFEU, for which there is no horizontal instrument.</w:t>
      </w:r>
      <w:r>
        <w:rPr>
          <w:rStyle w:val="Voetnootmarkering"/>
          <w:rFonts w:cs="Times New Roman"/>
          <w:sz w:val="24"/>
          <w:szCs w:val="24"/>
          <w:lang w:val="en-GB"/>
        </w:rPr>
        <w:footnoteReference w:id="5"/>
      </w:r>
      <w:r>
        <w:rPr>
          <w:rFonts w:cs="Times New Roman"/>
          <w:sz w:val="24"/>
          <w:szCs w:val="24"/>
          <w:lang w:val="en-GB"/>
        </w:rPr>
        <w:t xml:space="preserve"> Updating these legislative acts to the new legal reality of the Lisbon Treaty would thus require an amendment of every single one of these legislative acts, a process which the Com</w:t>
      </w:r>
      <w:r>
        <w:rPr>
          <w:rFonts w:cs="Times New Roman"/>
          <w:sz w:val="24"/>
          <w:szCs w:val="24"/>
          <w:lang w:val="en-GB"/>
        </w:rPr>
        <w:t>mission had wanted to conclude before the end of the 7</w:t>
      </w:r>
      <w:r w:rsidRPr="00B74D0E">
        <w:rPr>
          <w:rFonts w:cs="Times New Roman"/>
          <w:sz w:val="24"/>
          <w:szCs w:val="24"/>
          <w:vertAlign w:val="superscript"/>
          <w:lang w:val="en-GB"/>
        </w:rPr>
        <w:t>th</w:t>
      </w:r>
      <w:r>
        <w:rPr>
          <w:rFonts w:cs="Times New Roman"/>
          <w:sz w:val="24"/>
          <w:szCs w:val="24"/>
          <w:lang w:val="en-GB"/>
        </w:rPr>
        <w:t xml:space="preserve"> parliamentary term in 2014 (c</w:t>
      </w:r>
      <w:r>
        <w:rPr>
          <w:rFonts w:cs="Times New Roman"/>
          <w:sz w:val="24"/>
          <w:szCs w:val="24"/>
          <w:lang w:val="en-GB"/>
        </w:rPr>
        <w:t xml:space="preserve">ompare with the </w:t>
      </w:r>
      <w:r w:rsidR="00547C25">
        <w:rPr>
          <w:rFonts w:cs="Times New Roman"/>
          <w:sz w:val="24"/>
          <w:szCs w:val="24"/>
          <w:lang w:val="en-GB"/>
        </w:rPr>
        <w:t>below</w:t>
      </w:r>
      <w:r>
        <w:rPr>
          <w:rFonts w:cs="Times New Roman"/>
          <w:sz w:val="24"/>
          <w:szCs w:val="24"/>
          <w:lang w:val="en-GB"/>
        </w:rPr>
        <w:t xml:space="preserve">). However, </w:t>
      </w:r>
      <w:r>
        <w:rPr>
          <w:rFonts w:cs="Times New Roman"/>
          <w:sz w:val="24"/>
          <w:szCs w:val="24"/>
          <w:lang w:val="en-GB"/>
        </w:rPr>
        <w:t>through the</w:t>
      </w:r>
      <w:r>
        <w:rPr>
          <w:rFonts w:cs="Times New Roman"/>
          <w:sz w:val="24"/>
          <w:szCs w:val="24"/>
          <w:lang w:val="en-GB"/>
        </w:rPr>
        <w:t xml:space="preserve"> Council</w:t>
      </w:r>
      <w:r>
        <w:rPr>
          <w:rFonts w:cs="Times New Roman"/>
          <w:sz w:val="24"/>
          <w:szCs w:val="24"/>
          <w:lang w:val="en-GB"/>
        </w:rPr>
        <w:t>,</w:t>
      </w:r>
      <w:r>
        <w:rPr>
          <w:rFonts w:cs="Times New Roman"/>
          <w:sz w:val="24"/>
          <w:szCs w:val="24"/>
          <w:lang w:val="en-GB"/>
        </w:rPr>
        <w:t xml:space="preserve"> </w:t>
      </w:r>
      <w:r>
        <w:rPr>
          <w:rFonts w:cs="Times New Roman"/>
          <w:sz w:val="24"/>
          <w:szCs w:val="24"/>
          <w:lang w:val="en-GB"/>
        </w:rPr>
        <w:t xml:space="preserve">Member States </w:t>
      </w:r>
      <w:r>
        <w:rPr>
          <w:rFonts w:cs="Times New Roman"/>
          <w:sz w:val="24"/>
          <w:szCs w:val="24"/>
          <w:lang w:val="en-GB"/>
        </w:rPr>
        <w:t xml:space="preserve">have obstructed that process </w:t>
      </w:r>
      <w:r>
        <w:rPr>
          <w:rFonts w:cs="Times New Roman"/>
          <w:sz w:val="24"/>
          <w:szCs w:val="24"/>
          <w:lang w:val="en-GB"/>
        </w:rPr>
        <w:t xml:space="preserve">as </w:t>
      </w:r>
      <w:r>
        <w:rPr>
          <w:rFonts w:cs="Times New Roman"/>
          <w:sz w:val="24"/>
          <w:szCs w:val="24"/>
          <w:lang w:val="en-GB"/>
        </w:rPr>
        <w:t xml:space="preserve">the PRAC allows them a much greater </w:t>
      </w:r>
      <w:r>
        <w:rPr>
          <w:rFonts w:cs="Times New Roman"/>
          <w:sz w:val="24"/>
          <w:szCs w:val="24"/>
          <w:lang w:val="en-GB"/>
        </w:rPr>
        <w:t>say in the decision-making procedure than that foreseen in the procedure to adopt delegated acts. In a way, the PRAC therefore lives on as a zombie in EU law: dead but not quite.</w:t>
      </w:r>
    </w:p>
    <w:p w14:paraId="3254237F" w14:textId="77777777" w:rsidR="005E3788" w:rsidRDefault="005E3788">
      <w:pPr>
        <w:spacing w:line="360" w:lineRule="auto"/>
        <w:rPr>
          <w:rFonts w:cs="Times New Roman"/>
          <w:sz w:val="24"/>
          <w:szCs w:val="24"/>
          <w:lang w:val="en-GB"/>
        </w:rPr>
      </w:pPr>
    </w:p>
    <w:p w14:paraId="60E27FF3" w14:textId="57E7B46E" w:rsidR="005E3788" w:rsidRDefault="00B74D0E">
      <w:pPr>
        <w:spacing w:line="360" w:lineRule="auto"/>
        <w:rPr>
          <w:rFonts w:cs="Times New Roman"/>
          <w:b/>
          <w:sz w:val="24"/>
          <w:szCs w:val="24"/>
          <w:lang w:val="en-GB"/>
        </w:rPr>
      </w:pPr>
      <w:r>
        <w:rPr>
          <w:rFonts w:cs="Times New Roman"/>
          <w:b/>
          <w:sz w:val="24"/>
          <w:szCs w:val="24"/>
          <w:lang w:val="en-GB"/>
        </w:rPr>
        <w:t>§</w:t>
      </w:r>
      <w:r>
        <w:rPr>
          <w:rFonts w:cs="Times New Roman"/>
          <w:b/>
          <w:sz w:val="24"/>
          <w:szCs w:val="24"/>
          <w:lang w:val="en-GB"/>
        </w:rPr>
        <w:t>3 FACTS OF THE CASE AND PLEAS</w:t>
      </w:r>
    </w:p>
    <w:p w14:paraId="6C536BAF" w14:textId="55925B37" w:rsidR="005E3788" w:rsidRDefault="00B74D0E">
      <w:pPr>
        <w:spacing w:line="360" w:lineRule="auto"/>
        <w:rPr>
          <w:rFonts w:cs="Times New Roman"/>
          <w:sz w:val="24"/>
          <w:szCs w:val="24"/>
          <w:lang w:val="en-GB"/>
        </w:rPr>
      </w:pPr>
      <w:r>
        <w:rPr>
          <w:rFonts w:cs="Times New Roman"/>
          <w:sz w:val="24"/>
          <w:szCs w:val="24"/>
          <w:lang w:val="en-GB"/>
        </w:rPr>
        <w:t xml:space="preserve">The facts leading to the controversy in </w:t>
      </w:r>
      <w:r>
        <w:rPr>
          <w:rFonts w:cs="Times New Roman"/>
          <w:i/>
          <w:sz w:val="24"/>
          <w:szCs w:val="24"/>
          <w:lang w:val="en-GB"/>
        </w:rPr>
        <w:t>Neth</w:t>
      </w:r>
      <w:r>
        <w:rPr>
          <w:rFonts w:cs="Times New Roman"/>
          <w:i/>
          <w:sz w:val="24"/>
          <w:szCs w:val="24"/>
          <w:lang w:val="en-GB"/>
        </w:rPr>
        <w:t>erlands v. Commission</w:t>
      </w:r>
      <w:r>
        <w:rPr>
          <w:rFonts w:cs="Times New Roman"/>
          <w:sz w:val="24"/>
          <w:szCs w:val="24"/>
          <w:lang w:val="en-GB"/>
        </w:rPr>
        <w:t xml:space="preserve"> are rather straightforward. To ensure that consumer price</w:t>
      </w:r>
      <w:r>
        <w:rPr>
          <w:rFonts w:cs="Times New Roman"/>
          <w:sz w:val="24"/>
          <w:szCs w:val="24"/>
          <w:lang w:val="en-GB"/>
        </w:rPr>
        <w:t xml:space="preserve"> indices</w:t>
      </w:r>
      <w:r>
        <w:rPr>
          <w:rFonts w:cs="Times New Roman"/>
          <w:sz w:val="24"/>
          <w:szCs w:val="24"/>
          <w:lang w:val="en-GB"/>
        </w:rPr>
        <w:t xml:space="preserve"> (</w:t>
      </w:r>
      <w:r>
        <w:rPr>
          <w:rFonts w:cs="Times New Roman"/>
          <w:sz w:val="24"/>
          <w:szCs w:val="24"/>
          <w:lang w:val="en-GB"/>
        </w:rPr>
        <w:t>calculated by the Member State authorities and then forwarded to the Commission</w:t>
      </w:r>
      <w:r>
        <w:rPr>
          <w:rFonts w:cs="Times New Roman"/>
          <w:sz w:val="24"/>
          <w:szCs w:val="24"/>
          <w:lang w:val="en-GB"/>
        </w:rPr>
        <w:t>)</w:t>
      </w:r>
      <w:r>
        <w:rPr>
          <w:rFonts w:cs="Times New Roman"/>
          <w:sz w:val="24"/>
          <w:szCs w:val="24"/>
          <w:lang w:val="en-GB"/>
        </w:rPr>
        <w:t xml:space="preserve"> are comparable, the Council </w:t>
      </w:r>
      <w:r>
        <w:rPr>
          <w:rFonts w:cs="Times New Roman"/>
          <w:sz w:val="24"/>
          <w:szCs w:val="24"/>
          <w:lang w:val="en-GB"/>
        </w:rPr>
        <w:t xml:space="preserve">adopted </w:t>
      </w:r>
      <w:r>
        <w:rPr>
          <w:rFonts w:cs="Times New Roman"/>
          <w:sz w:val="24"/>
          <w:szCs w:val="24"/>
          <w:lang w:val="en-GB"/>
        </w:rPr>
        <w:lastRenderedPageBreak/>
        <w:t>R</w:t>
      </w:r>
      <w:r>
        <w:rPr>
          <w:rFonts w:cs="Times New Roman"/>
          <w:sz w:val="24"/>
          <w:szCs w:val="24"/>
          <w:lang w:val="en-GB"/>
        </w:rPr>
        <w:t>egulation 2494/95</w:t>
      </w:r>
      <w:r>
        <w:rPr>
          <w:rFonts w:cs="Times New Roman"/>
          <w:sz w:val="24"/>
          <w:szCs w:val="24"/>
          <w:lang w:val="en-GB"/>
        </w:rPr>
        <w:t xml:space="preserve"> in 1995</w:t>
      </w:r>
      <w:r>
        <w:rPr>
          <w:rFonts w:cs="Times New Roman"/>
          <w:sz w:val="24"/>
          <w:szCs w:val="24"/>
          <w:lang w:val="en-GB"/>
        </w:rPr>
        <w:t>.</w:t>
      </w:r>
      <w:r>
        <w:rPr>
          <w:rStyle w:val="Voetnootmarkering"/>
          <w:rFonts w:cs="Times New Roman"/>
          <w:sz w:val="24"/>
          <w:szCs w:val="24"/>
          <w:lang w:val="en-GB"/>
        </w:rPr>
        <w:footnoteReference w:id="6"/>
      </w:r>
      <w:r>
        <w:rPr>
          <w:rFonts w:cs="Times New Roman"/>
          <w:sz w:val="24"/>
          <w:szCs w:val="24"/>
          <w:lang w:val="en-GB"/>
        </w:rPr>
        <w:t xml:space="preserve"> Following the entry into force of the Amsterdam Treaty, </w:t>
      </w:r>
      <w:r>
        <w:rPr>
          <w:rFonts w:cs="Times New Roman"/>
          <w:sz w:val="24"/>
          <w:szCs w:val="24"/>
          <w:lang w:val="en-GB"/>
        </w:rPr>
        <w:t>R</w:t>
      </w:r>
      <w:r>
        <w:rPr>
          <w:rFonts w:cs="Times New Roman"/>
          <w:sz w:val="24"/>
          <w:szCs w:val="24"/>
          <w:lang w:val="en-GB"/>
        </w:rPr>
        <w:t>egulation 2494/95 was amended by a legislative act adopted pursuant to the co-decision procedure.</w:t>
      </w:r>
      <w:r>
        <w:rPr>
          <w:rStyle w:val="Voetnootmarkering"/>
          <w:rFonts w:cs="Times New Roman"/>
          <w:sz w:val="24"/>
          <w:szCs w:val="24"/>
          <w:lang w:val="en-GB"/>
        </w:rPr>
        <w:footnoteReference w:id="7"/>
      </w:r>
      <w:r>
        <w:rPr>
          <w:rFonts w:cs="Times New Roman"/>
          <w:sz w:val="24"/>
          <w:szCs w:val="24"/>
          <w:lang w:val="en-GB"/>
        </w:rPr>
        <w:t xml:space="preserve"> Finally, in 2009 the Regulation was amended again to allow further measures to be adopted pursuan</w:t>
      </w:r>
      <w:r>
        <w:rPr>
          <w:rFonts w:cs="Times New Roman"/>
          <w:sz w:val="24"/>
          <w:szCs w:val="24"/>
          <w:lang w:val="en-GB"/>
        </w:rPr>
        <w:t>t to the PRAC,</w:t>
      </w:r>
      <w:r>
        <w:rPr>
          <w:rStyle w:val="Voetnootmarkering"/>
          <w:rFonts w:cs="Times New Roman"/>
          <w:sz w:val="24"/>
          <w:szCs w:val="24"/>
          <w:lang w:val="en-GB"/>
        </w:rPr>
        <w:footnoteReference w:id="8"/>
      </w:r>
      <w:r>
        <w:rPr>
          <w:rFonts w:cs="Times New Roman"/>
          <w:sz w:val="24"/>
          <w:szCs w:val="24"/>
          <w:lang w:val="en-GB"/>
        </w:rPr>
        <w:t xml:space="preserve"> the procedure created by the 2006 amendment to the (second) comitology decision.</w:t>
      </w:r>
      <w:r>
        <w:rPr>
          <w:rStyle w:val="Voetnootmarkering"/>
          <w:rFonts w:cs="Times New Roman"/>
          <w:sz w:val="24"/>
          <w:szCs w:val="24"/>
          <w:lang w:val="en-GB"/>
        </w:rPr>
        <w:footnoteReference w:id="9"/>
      </w:r>
    </w:p>
    <w:p w14:paraId="575713AE" w14:textId="66048E8E" w:rsidR="005E3788" w:rsidRDefault="00B74D0E">
      <w:pPr>
        <w:spacing w:line="360" w:lineRule="auto"/>
        <w:rPr>
          <w:rFonts w:cs="Times New Roman"/>
          <w:sz w:val="24"/>
          <w:szCs w:val="24"/>
          <w:lang w:val="en-GB"/>
        </w:rPr>
      </w:pPr>
      <w:r>
        <w:rPr>
          <w:rFonts w:cs="Times New Roman"/>
          <w:sz w:val="24"/>
          <w:szCs w:val="24"/>
          <w:lang w:val="en-GB"/>
        </w:rPr>
        <w:t xml:space="preserve">Through the PRAC, the Commission adopted two regulations in 2013, one amending an earlier Commission measure and one directly implementing (in the pre-Lisbon </w:t>
      </w:r>
      <w:r>
        <w:rPr>
          <w:rFonts w:cs="Times New Roman"/>
          <w:sz w:val="24"/>
          <w:szCs w:val="24"/>
          <w:lang w:val="en-GB"/>
        </w:rPr>
        <w:t>sense) Regulation 2494/95.</w:t>
      </w:r>
      <w:r>
        <w:rPr>
          <w:rStyle w:val="Voetnootmarkering"/>
          <w:rFonts w:cs="Times New Roman"/>
          <w:sz w:val="24"/>
          <w:szCs w:val="24"/>
          <w:lang w:val="en-GB"/>
        </w:rPr>
        <w:footnoteReference w:id="10"/>
      </w:r>
      <w:r>
        <w:rPr>
          <w:rFonts w:cs="Times New Roman"/>
          <w:sz w:val="24"/>
          <w:szCs w:val="24"/>
          <w:lang w:val="en-GB"/>
        </w:rPr>
        <w:t xml:space="preserve"> </w:t>
      </w:r>
      <w:r>
        <w:rPr>
          <w:rFonts w:cs="Times New Roman"/>
          <w:sz w:val="24"/>
          <w:szCs w:val="24"/>
          <w:lang w:val="en-GB"/>
        </w:rPr>
        <w:t xml:space="preserve">As </w:t>
      </w:r>
      <w:r>
        <w:rPr>
          <w:rFonts w:cs="Times New Roman"/>
          <w:sz w:val="24"/>
          <w:szCs w:val="24"/>
          <w:lang w:val="en-GB"/>
        </w:rPr>
        <w:t>these two Commission regulations were adopted following the PRAC, rather than one of the procedures provided for under the comitology regulation, they were not adopted as ‘implementing’ acts as prescribed by Article 2</w:t>
      </w:r>
      <w:r>
        <w:rPr>
          <w:rFonts w:cs="Times New Roman"/>
          <w:sz w:val="24"/>
          <w:szCs w:val="24"/>
          <w:lang w:val="en-GB"/>
        </w:rPr>
        <w:t>91</w:t>
      </w:r>
      <w:r>
        <w:rPr>
          <w:rFonts w:cs="Times New Roman"/>
          <w:sz w:val="24"/>
          <w:szCs w:val="24"/>
          <w:lang w:val="en-GB"/>
        </w:rPr>
        <w:t>(4) TFEU. These two acts empowered the Commission (more specifically Eurostat) to adopt guidelines and manuals constituting the methodological frameworks to be used by the Member States’ authorities to calculate (in a harmoni</w:t>
      </w:r>
      <w:r>
        <w:rPr>
          <w:rFonts w:cs="Times New Roman"/>
          <w:sz w:val="24"/>
          <w:szCs w:val="24"/>
          <w:lang w:val="en-GB"/>
        </w:rPr>
        <w:t>z</w:t>
      </w:r>
      <w:r>
        <w:rPr>
          <w:rFonts w:cs="Times New Roman"/>
          <w:sz w:val="24"/>
          <w:szCs w:val="24"/>
          <w:lang w:val="en-GB"/>
        </w:rPr>
        <w:t>ed way) inflation indices.</w:t>
      </w:r>
      <w:r>
        <w:rPr>
          <w:rFonts w:cs="Times New Roman"/>
          <w:sz w:val="24"/>
          <w:szCs w:val="24"/>
          <w:lang w:val="en-GB"/>
        </w:rPr>
        <w:t xml:space="preserve"> However, the two Commission regulations simply empowered Eurostat to adopt these guidelines and manuals without prescribing a clear procedure for their adoption. The Netherlands took issue with this, arguing (i) that only the Commission (but not Eurostat)</w:t>
      </w:r>
      <w:r>
        <w:rPr>
          <w:rFonts w:cs="Times New Roman"/>
          <w:sz w:val="24"/>
          <w:szCs w:val="24"/>
          <w:lang w:val="en-GB"/>
        </w:rPr>
        <w:t xml:space="preserve"> could be empowered</w:t>
      </w:r>
      <w:r>
        <w:rPr>
          <w:rFonts w:cs="Times New Roman"/>
          <w:sz w:val="24"/>
          <w:szCs w:val="24"/>
          <w:lang w:val="en-GB"/>
        </w:rPr>
        <w:t>;</w:t>
      </w:r>
      <w:r>
        <w:rPr>
          <w:rFonts w:cs="Times New Roman"/>
          <w:sz w:val="24"/>
          <w:szCs w:val="24"/>
          <w:lang w:val="en-GB"/>
        </w:rPr>
        <w:t xml:space="preserve"> (ii) that the guidelines, which it found to be binding legal acts, should be adopted in the form of decisions, directives or regulations (as foreseen in Article 288 TFEU)</w:t>
      </w:r>
      <w:r>
        <w:rPr>
          <w:rFonts w:cs="Times New Roman"/>
          <w:sz w:val="24"/>
          <w:szCs w:val="24"/>
          <w:lang w:val="en-GB"/>
        </w:rPr>
        <w:t>;</w:t>
      </w:r>
      <w:r>
        <w:rPr>
          <w:rFonts w:cs="Times New Roman"/>
          <w:sz w:val="24"/>
          <w:szCs w:val="24"/>
          <w:lang w:val="en-GB"/>
        </w:rPr>
        <w:t xml:space="preserve"> (iii) that the Commission should have prescribed the PRAC to </w:t>
      </w:r>
      <w:r>
        <w:rPr>
          <w:rFonts w:cs="Times New Roman"/>
          <w:sz w:val="24"/>
          <w:szCs w:val="24"/>
          <w:lang w:val="en-GB"/>
        </w:rPr>
        <w:t xml:space="preserve">adopt the guidelines and manuals since that is the procedure prescribed by the basic legislative act or </w:t>
      </w:r>
      <w:r w:rsidR="00547C25">
        <w:rPr>
          <w:rFonts w:cs="Times New Roman"/>
          <w:sz w:val="24"/>
          <w:szCs w:val="24"/>
          <w:lang w:val="en-GB"/>
        </w:rPr>
        <w:t>alternatively</w:t>
      </w:r>
      <w:r>
        <w:rPr>
          <w:rFonts w:cs="Times New Roman"/>
          <w:sz w:val="24"/>
          <w:szCs w:val="24"/>
          <w:lang w:val="en-GB"/>
        </w:rPr>
        <w:t xml:space="preserve"> (iv) that one of the procedures of the comitology regulation ought to have been prescribed.</w:t>
      </w:r>
      <w:r>
        <w:rPr>
          <w:rStyle w:val="Voetnootmarkering"/>
          <w:rFonts w:cs="Times New Roman"/>
          <w:sz w:val="24"/>
          <w:szCs w:val="24"/>
          <w:lang w:val="en-GB"/>
        </w:rPr>
        <w:footnoteReference w:id="11"/>
      </w:r>
    </w:p>
    <w:p w14:paraId="429AE4D6" w14:textId="77777777" w:rsidR="005E3788" w:rsidRDefault="005E3788">
      <w:pPr>
        <w:spacing w:line="360" w:lineRule="auto"/>
        <w:rPr>
          <w:rFonts w:cs="Times New Roman"/>
          <w:sz w:val="24"/>
          <w:szCs w:val="24"/>
          <w:lang w:val="en-GB"/>
        </w:rPr>
      </w:pPr>
    </w:p>
    <w:p w14:paraId="4B49AB6D" w14:textId="57DDD7CB" w:rsidR="005E3788" w:rsidRDefault="00B74D0E">
      <w:pPr>
        <w:spacing w:line="360" w:lineRule="auto"/>
        <w:rPr>
          <w:rFonts w:cs="Times New Roman"/>
          <w:b/>
          <w:sz w:val="24"/>
          <w:szCs w:val="24"/>
          <w:lang w:val="en-GB"/>
        </w:rPr>
      </w:pPr>
      <w:r>
        <w:rPr>
          <w:rFonts w:cs="Times New Roman"/>
          <w:b/>
          <w:sz w:val="24"/>
          <w:szCs w:val="24"/>
          <w:lang w:val="en-GB"/>
        </w:rPr>
        <w:t>§</w:t>
      </w:r>
      <w:r>
        <w:rPr>
          <w:rFonts w:cs="Times New Roman"/>
          <w:b/>
          <w:sz w:val="24"/>
          <w:szCs w:val="24"/>
          <w:lang w:val="en-GB"/>
        </w:rPr>
        <w:t>4 JUDGMENT</w:t>
      </w:r>
    </w:p>
    <w:p w14:paraId="64424B96" w14:textId="77777777" w:rsidR="005E3788" w:rsidRDefault="00B74D0E">
      <w:pPr>
        <w:spacing w:line="360" w:lineRule="auto"/>
        <w:rPr>
          <w:rFonts w:cs="Times New Roman"/>
          <w:sz w:val="24"/>
          <w:szCs w:val="24"/>
          <w:lang w:val="en-GB"/>
        </w:rPr>
      </w:pPr>
      <w:r>
        <w:rPr>
          <w:rFonts w:cs="Times New Roman"/>
          <w:sz w:val="24"/>
          <w:szCs w:val="24"/>
          <w:lang w:val="en-GB"/>
        </w:rPr>
        <w:lastRenderedPageBreak/>
        <w:t>The General Court foc</w:t>
      </w:r>
      <w:r>
        <w:rPr>
          <w:rFonts w:cs="Times New Roman"/>
          <w:sz w:val="24"/>
          <w:szCs w:val="24"/>
          <w:lang w:val="en-GB"/>
        </w:rPr>
        <w:t>used exclusively on the third of these pleas,</w:t>
      </w:r>
      <w:r>
        <w:rPr>
          <w:rStyle w:val="Voetnootmarkering"/>
          <w:rFonts w:cs="Times New Roman"/>
          <w:sz w:val="24"/>
          <w:szCs w:val="24"/>
          <w:lang w:val="en-GB"/>
        </w:rPr>
        <w:footnoteReference w:id="12"/>
      </w:r>
      <w:r>
        <w:rPr>
          <w:rFonts w:cs="Times New Roman"/>
          <w:sz w:val="24"/>
          <w:szCs w:val="24"/>
          <w:lang w:val="en-GB"/>
        </w:rPr>
        <w:t xml:space="preserve"> and rephrased the controversy before it as follows: </w:t>
      </w:r>
    </w:p>
    <w:p w14:paraId="5E5AB546" w14:textId="77777777" w:rsidR="005E3788" w:rsidRDefault="005E3788">
      <w:pPr>
        <w:spacing w:line="360" w:lineRule="auto"/>
        <w:rPr>
          <w:rFonts w:cs="Times New Roman"/>
          <w:sz w:val="24"/>
          <w:szCs w:val="24"/>
          <w:lang w:val="en-GB"/>
        </w:rPr>
      </w:pPr>
    </w:p>
    <w:p w14:paraId="58E91AF7" w14:textId="77777777" w:rsidR="005E3788" w:rsidRDefault="00B74D0E" w:rsidP="00B74D0E">
      <w:pPr>
        <w:spacing w:line="360" w:lineRule="auto"/>
        <w:ind w:left="708"/>
        <w:rPr>
          <w:rFonts w:cs="Times New Roman"/>
          <w:szCs w:val="24"/>
          <w:lang w:val="en-GB"/>
        </w:rPr>
      </w:pPr>
      <w:r w:rsidRPr="00B74D0E">
        <w:rPr>
          <w:rFonts w:cs="Times New Roman"/>
          <w:szCs w:val="24"/>
          <w:lang w:val="en-GB"/>
        </w:rPr>
        <w:t xml:space="preserve">The pleas relied on by the Kingdom of the Netherlands concerning the absence of recourse to the regulatory procedure with scrutiny therefore raise the </w:t>
      </w:r>
      <w:r w:rsidRPr="00B74D0E">
        <w:rPr>
          <w:rFonts w:cs="Times New Roman"/>
          <w:szCs w:val="24"/>
          <w:lang w:val="en-GB"/>
        </w:rPr>
        <w:t>question of whether Regulation No 2494/95 has been correctly implemented by the Commission where, in the contested provisions, the Commission has entrusted Eurostat with the task of establishing and updating the methodological frameworks for calculating pr</w:t>
      </w:r>
      <w:r w:rsidRPr="00B74D0E">
        <w:rPr>
          <w:rFonts w:cs="Times New Roman"/>
          <w:szCs w:val="24"/>
          <w:lang w:val="en-GB"/>
        </w:rPr>
        <w:t>ice indices without providing for the application of the regulatory procedure with scrutiny.</w:t>
      </w:r>
      <w:r>
        <w:rPr>
          <w:rStyle w:val="Voetnootmarkering"/>
          <w:rFonts w:cs="Times New Roman"/>
          <w:szCs w:val="24"/>
          <w:lang w:val="en-GB"/>
        </w:rPr>
        <w:footnoteReference w:id="13"/>
      </w:r>
    </w:p>
    <w:p w14:paraId="01BC5C16" w14:textId="77777777" w:rsidR="005E3788" w:rsidRDefault="005E3788" w:rsidP="00B74D0E">
      <w:pPr>
        <w:spacing w:line="360" w:lineRule="auto"/>
        <w:ind w:left="708"/>
        <w:rPr>
          <w:rFonts w:cs="Times New Roman"/>
          <w:szCs w:val="24"/>
          <w:lang w:val="en-GB"/>
        </w:rPr>
      </w:pPr>
    </w:p>
    <w:p w14:paraId="3225701D" w14:textId="1CB238F7" w:rsidR="005E3788" w:rsidRDefault="00B74D0E">
      <w:pPr>
        <w:spacing w:line="360" w:lineRule="auto"/>
        <w:rPr>
          <w:rFonts w:cs="Times New Roman"/>
          <w:sz w:val="24"/>
          <w:szCs w:val="24"/>
          <w:lang w:val="en-GB"/>
        </w:rPr>
      </w:pPr>
      <w:r>
        <w:rPr>
          <w:rFonts w:cs="Times New Roman"/>
          <w:sz w:val="24"/>
          <w:szCs w:val="24"/>
          <w:lang w:val="en-GB"/>
        </w:rPr>
        <w:t>Surprisingly however, instead of first</w:t>
      </w:r>
      <w:r>
        <w:rPr>
          <w:rFonts w:cs="Times New Roman"/>
          <w:sz w:val="24"/>
          <w:szCs w:val="24"/>
          <w:lang w:val="en-GB"/>
        </w:rPr>
        <w:t xml:space="preserve"> testing the contested provisions in the light of the second comitology decision which describes the PRAC’s field of application, the Court found it expedient to refer to Article 291 TFEU. It also referred to the Court of Justice</w:t>
      </w:r>
      <w:r>
        <w:rPr>
          <w:rFonts w:cs="Times New Roman"/>
          <w:sz w:val="24"/>
          <w:szCs w:val="24"/>
          <w:lang w:val="en-GB"/>
        </w:rPr>
        <w:t xml:space="preserve"> of the European Union</w:t>
      </w:r>
      <w:r>
        <w:rPr>
          <w:rFonts w:cs="Times New Roman"/>
          <w:sz w:val="24"/>
          <w:szCs w:val="24"/>
          <w:lang w:val="en-GB"/>
        </w:rPr>
        <w:t xml:space="preserve">’s </w:t>
      </w:r>
      <w:r>
        <w:rPr>
          <w:rFonts w:cs="Times New Roman"/>
          <w:sz w:val="24"/>
          <w:szCs w:val="24"/>
          <w:lang w:val="en-GB"/>
        </w:rPr>
        <w:t>(C</w:t>
      </w:r>
      <w:r>
        <w:rPr>
          <w:rFonts w:cs="Times New Roman"/>
          <w:sz w:val="24"/>
          <w:szCs w:val="24"/>
          <w:lang w:val="en-GB"/>
        </w:rPr>
        <w:t xml:space="preserve">JEU) </w:t>
      </w:r>
      <w:r>
        <w:rPr>
          <w:rFonts w:cs="Times New Roman"/>
          <w:sz w:val="24"/>
          <w:szCs w:val="24"/>
          <w:lang w:val="en-GB"/>
        </w:rPr>
        <w:t xml:space="preserve">finding in </w:t>
      </w:r>
      <w:r>
        <w:rPr>
          <w:rFonts w:cs="Times New Roman"/>
          <w:i/>
          <w:sz w:val="24"/>
          <w:szCs w:val="24"/>
          <w:lang w:val="en-GB"/>
        </w:rPr>
        <w:t>Biocides</w:t>
      </w:r>
      <w:r>
        <w:rPr>
          <w:rStyle w:val="Voetnootmarkering"/>
          <w:rFonts w:cs="Times New Roman"/>
          <w:sz w:val="24"/>
          <w:szCs w:val="24"/>
          <w:lang w:val="en-GB"/>
        </w:rPr>
        <w:footnoteReference w:id="14"/>
      </w:r>
      <w:r>
        <w:rPr>
          <w:rFonts w:cs="Times New Roman"/>
          <w:sz w:val="24"/>
          <w:szCs w:val="24"/>
          <w:lang w:val="en-GB"/>
        </w:rPr>
        <w:t xml:space="preserve"> that an implementing act under Article 291 TFEU should be used when the Commission is called upon </w:t>
      </w:r>
      <w:r>
        <w:rPr>
          <w:rFonts w:cs="Times New Roman"/>
          <w:sz w:val="24"/>
          <w:szCs w:val="24"/>
          <w:lang w:val="en-GB"/>
        </w:rPr>
        <w:t>‘</w:t>
      </w:r>
      <w:r w:rsidRPr="00B74D0E">
        <w:rPr>
          <w:rFonts w:cs="Times New Roman"/>
          <w:sz w:val="24"/>
          <w:szCs w:val="24"/>
          <w:lang w:val="en-GB"/>
        </w:rPr>
        <w:t>to provide further detail in relation to the content of the legislative act, in order to ensure that it is implemented under unifo</w:t>
      </w:r>
      <w:r w:rsidRPr="00B74D0E">
        <w:rPr>
          <w:rFonts w:cs="Times New Roman"/>
          <w:sz w:val="24"/>
          <w:szCs w:val="24"/>
          <w:lang w:val="en-GB"/>
        </w:rPr>
        <w:t>rm conditions in all Member States</w:t>
      </w:r>
      <w:r w:rsidRPr="00B74D0E">
        <w:rPr>
          <w:rFonts w:cs="Times New Roman"/>
          <w:sz w:val="24"/>
          <w:szCs w:val="24"/>
          <w:lang w:val="en-GB"/>
        </w:rPr>
        <w:t>’</w:t>
      </w:r>
      <w:r>
        <w:rPr>
          <w:rFonts w:cs="Times New Roman"/>
          <w:sz w:val="24"/>
          <w:szCs w:val="24"/>
          <w:lang w:val="en-GB"/>
        </w:rPr>
        <w:t>.</w:t>
      </w:r>
      <w:r>
        <w:rPr>
          <w:rStyle w:val="Voetnootmarkering"/>
          <w:rFonts w:cs="Times New Roman"/>
          <w:sz w:val="24"/>
          <w:szCs w:val="24"/>
          <w:lang w:val="en-GB"/>
        </w:rPr>
        <w:footnoteReference w:id="15"/>
      </w:r>
      <w:r>
        <w:rPr>
          <w:rFonts w:cs="Times New Roman"/>
          <w:sz w:val="24"/>
          <w:szCs w:val="24"/>
          <w:lang w:val="en-GB"/>
        </w:rPr>
        <w:t xml:space="preserve"> In addition, following the </w:t>
      </w:r>
      <w:r>
        <w:rPr>
          <w:rFonts w:cs="Times New Roman"/>
          <w:sz w:val="24"/>
          <w:szCs w:val="24"/>
          <w:lang w:val="en-GB"/>
        </w:rPr>
        <w:t>CJEU’s</w:t>
      </w:r>
      <w:r>
        <w:rPr>
          <w:rFonts w:cs="Times New Roman"/>
          <w:sz w:val="24"/>
          <w:szCs w:val="24"/>
          <w:lang w:val="en-GB"/>
        </w:rPr>
        <w:t xml:space="preserve"> decision in </w:t>
      </w:r>
      <w:r>
        <w:rPr>
          <w:rFonts w:cs="Times New Roman"/>
          <w:i/>
          <w:sz w:val="24"/>
          <w:szCs w:val="24"/>
          <w:lang w:val="en-GB"/>
        </w:rPr>
        <w:t>Eures network</w:t>
      </w:r>
      <w:r>
        <w:rPr>
          <w:rFonts w:cs="Times New Roman"/>
          <w:sz w:val="24"/>
          <w:szCs w:val="24"/>
          <w:lang w:val="en-GB"/>
        </w:rPr>
        <w:t>,</w:t>
      </w:r>
      <w:r>
        <w:rPr>
          <w:rStyle w:val="Voetnootmarkering"/>
          <w:rFonts w:cs="Times New Roman"/>
          <w:sz w:val="24"/>
          <w:szCs w:val="24"/>
          <w:lang w:val="en-GB"/>
        </w:rPr>
        <w:footnoteReference w:id="16"/>
      </w:r>
      <w:r>
        <w:rPr>
          <w:rFonts w:cs="Times New Roman"/>
          <w:sz w:val="24"/>
          <w:szCs w:val="24"/>
          <w:lang w:val="en-GB"/>
        </w:rPr>
        <w:t xml:space="preserve"> the Commission is entitled to adopt all measures which are necessary or appropriate for the implementation of a legislative act in so far</w:t>
      </w:r>
      <w:r>
        <w:rPr>
          <w:rFonts w:cs="Times New Roman"/>
          <w:sz w:val="24"/>
          <w:szCs w:val="24"/>
          <w:lang w:val="en-GB"/>
        </w:rPr>
        <w:t xml:space="preserve"> as these measures comply with the legislative act’s essential general aims.</w:t>
      </w:r>
      <w:r>
        <w:rPr>
          <w:rStyle w:val="Voetnootmarkering"/>
          <w:rFonts w:cs="Times New Roman"/>
          <w:sz w:val="24"/>
          <w:szCs w:val="24"/>
          <w:lang w:val="en-GB"/>
        </w:rPr>
        <w:footnoteReference w:id="17"/>
      </w:r>
      <w:r>
        <w:rPr>
          <w:rFonts w:cs="Times New Roman"/>
          <w:sz w:val="24"/>
          <w:szCs w:val="24"/>
          <w:lang w:val="en-GB"/>
        </w:rPr>
        <w:t xml:space="preserve"> Applying this post-Lisbon case law on Article 291 TFEU to the guidelines and manuals which Eurostat was called upon to adopt, the General Court concluded that they indeed constit</w:t>
      </w:r>
      <w:r>
        <w:rPr>
          <w:rFonts w:cs="Times New Roman"/>
          <w:sz w:val="24"/>
          <w:szCs w:val="24"/>
          <w:lang w:val="en-GB"/>
        </w:rPr>
        <w:t>ute measures implementing the legislative regulation.</w:t>
      </w:r>
      <w:r>
        <w:rPr>
          <w:rStyle w:val="Voetnootmarkering"/>
          <w:rFonts w:cs="Times New Roman"/>
          <w:sz w:val="24"/>
          <w:szCs w:val="24"/>
          <w:lang w:val="en-GB"/>
        </w:rPr>
        <w:footnoteReference w:id="18"/>
      </w:r>
      <w:r>
        <w:rPr>
          <w:rFonts w:cs="Times New Roman"/>
          <w:sz w:val="24"/>
          <w:szCs w:val="24"/>
          <w:lang w:val="en-GB"/>
        </w:rPr>
        <w:t xml:space="preserve"> As a result, it found that the guidelines and manuals should be adopted following the PRAC, just like the contested Commission regulations themselves.</w:t>
      </w:r>
      <w:r>
        <w:rPr>
          <w:rStyle w:val="Voetnootmarkering"/>
          <w:rFonts w:cs="Times New Roman"/>
          <w:sz w:val="24"/>
          <w:szCs w:val="24"/>
          <w:lang w:val="en-GB"/>
        </w:rPr>
        <w:footnoteReference w:id="19"/>
      </w:r>
      <w:r>
        <w:rPr>
          <w:rFonts w:cs="Times New Roman"/>
          <w:sz w:val="24"/>
          <w:szCs w:val="24"/>
          <w:lang w:val="en-GB"/>
        </w:rPr>
        <w:t xml:space="preserve"> In the remainder of its judgment, the Court refut</w:t>
      </w:r>
      <w:r>
        <w:rPr>
          <w:rFonts w:cs="Times New Roman"/>
          <w:sz w:val="24"/>
          <w:szCs w:val="24"/>
          <w:lang w:val="en-GB"/>
        </w:rPr>
        <w:t>ed the Commission’s arguments to the contrary.</w:t>
      </w:r>
    </w:p>
    <w:p w14:paraId="614AE43F" w14:textId="77777777" w:rsidR="005E3788" w:rsidRDefault="005E3788">
      <w:pPr>
        <w:spacing w:line="360" w:lineRule="auto"/>
        <w:rPr>
          <w:rFonts w:cs="Times New Roman"/>
          <w:sz w:val="24"/>
          <w:szCs w:val="24"/>
          <w:lang w:val="en-GB"/>
        </w:rPr>
      </w:pPr>
    </w:p>
    <w:p w14:paraId="11234252" w14:textId="7C402262" w:rsidR="005E3788" w:rsidRDefault="00B74D0E">
      <w:pPr>
        <w:spacing w:line="360" w:lineRule="auto"/>
        <w:rPr>
          <w:rFonts w:cs="Times New Roman"/>
          <w:b/>
          <w:sz w:val="24"/>
          <w:szCs w:val="24"/>
          <w:lang w:val="en-GB"/>
        </w:rPr>
      </w:pPr>
      <w:r>
        <w:rPr>
          <w:rFonts w:cs="Times New Roman"/>
          <w:b/>
          <w:sz w:val="24"/>
          <w:szCs w:val="24"/>
          <w:lang w:val="en-GB"/>
        </w:rPr>
        <w:t>§</w:t>
      </w:r>
      <w:r>
        <w:rPr>
          <w:rFonts w:cs="Times New Roman"/>
          <w:b/>
          <w:sz w:val="24"/>
          <w:szCs w:val="24"/>
          <w:lang w:val="en-GB"/>
        </w:rPr>
        <w:t>5 COMMENT</w:t>
      </w:r>
    </w:p>
    <w:p w14:paraId="10B3F9D1" w14:textId="30600D1B" w:rsidR="005E3788" w:rsidRDefault="00B74D0E">
      <w:pPr>
        <w:spacing w:line="360" w:lineRule="auto"/>
        <w:rPr>
          <w:rFonts w:cs="Times New Roman"/>
          <w:sz w:val="24"/>
          <w:szCs w:val="24"/>
          <w:lang w:val="en-GB"/>
        </w:rPr>
      </w:pPr>
      <w:r>
        <w:rPr>
          <w:rFonts w:cs="Times New Roman"/>
          <w:sz w:val="24"/>
          <w:szCs w:val="24"/>
          <w:lang w:val="en-GB"/>
        </w:rPr>
        <w:t>The present case</w:t>
      </w:r>
      <w:r>
        <w:rPr>
          <w:rFonts w:cs="Times New Roman"/>
          <w:sz w:val="24"/>
          <w:szCs w:val="24"/>
          <w:lang w:val="en-GB"/>
        </w:rPr>
        <w:t xml:space="preserve"> </w:t>
      </w:r>
      <w:r>
        <w:rPr>
          <w:rFonts w:cs="Times New Roman"/>
          <w:sz w:val="24"/>
          <w:szCs w:val="24"/>
          <w:lang w:val="en-GB"/>
        </w:rPr>
        <w:t xml:space="preserve">is a </w:t>
      </w:r>
      <w:r>
        <w:rPr>
          <w:rFonts w:cs="Times New Roman"/>
          <w:sz w:val="24"/>
          <w:szCs w:val="24"/>
          <w:lang w:val="en-GB"/>
        </w:rPr>
        <w:t>perfect</w:t>
      </w:r>
      <w:r>
        <w:rPr>
          <w:rFonts w:cs="Times New Roman"/>
          <w:sz w:val="24"/>
          <w:szCs w:val="24"/>
          <w:lang w:val="en-GB"/>
        </w:rPr>
        <w:t xml:space="preserve"> illustrat</w:t>
      </w:r>
      <w:r>
        <w:rPr>
          <w:rFonts w:cs="Times New Roman"/>
          <w:sz w:val="24"/>
          <w:szCs w:val="24"/>
          <w:lang w:val="en-GB"/>
        </w:rPr>
        <w:t>ion of</w:t>
      </w:r>
      <w:r>
        <w:rPr>
          <w:rFonts w:cs="Times New Roman"/>
          <w:sz w:val="24"/>
          <w:szCs w:val="24"/>
          <w:lang w:val="en-GB"/>
        </w:rPr>
        <w:t xml:space="preserve"> the Lisbon Treaty’s unfulfilled promise of simplification and enhanced transparency, </w:t>
      </w:r>
      <w:r>
        <w:rPr>
          <w:rFonts w:cs="Times New Roman"/>
          <w:i/>
          <w:sz w:val="24"/>
          <w:szCs w:val="24"/>
          <w:lang w:val="en-GB"/>
        </w:rPr>
        <w:t>in casu</w:t>
      </w:r>
      <w:r>
        <w:rPr>
          <w:rFonts w:cs="Times New Roman"/>
          <w:sz w:val="24"/>
          <w:szCs w:val="24"/>
          <w:lang w:val="en-GB"/>
        </w:rPr>
        <w:t xml:space="preserve"> in executive rule-making. While the introduction of </w:t>
      </w:r>
      <w:r>
        <w:rPr>
          <w:rFonts w:cs="Times New Roman"/>
          <w:sz w:val="24"/>
          <w:szCs w:val="24"/>
          <w:lang w:val="en-GB"/>
        </w:rPr>
        <w:t>a distinction between implementing and delegated acts was theoretically sound and therefore to be welcomed,</w:t>
      </w:r>
      <w:r>
        <w:rPr>
          <w:rStyle w:val="Voetnootmarkering"/>
          <w:rFonts w:cs="Times New Roman"/>
          <w:sz w:val="24"/>
          <w:szCs w:val="24"/>
          <w:lang w:val="en-GB"/>
        </w:rPr>
        <w:footnoteReference w:id="20"/>
      </w:r>
      <w:r>
        <w:rPr>
          <w:rFonts w:cs="Times New Roman"/>
          <w:sz w:val="24"/>
          <w:szCs w:val="24"/>
          <w:lang w:val="en-GB"/>
        </w:rPr>
        <w:t xml:space="preserve"> the Treaty’s reform has not been followed up in practice. Of course, </w:t>
      </w:r>
      <w:r>
        <w:rPr>
          <w:rFonts w:cs="Times New Roman"/>
          <w:sz w:val="24"/>
          <w:szCs w:val="24"/>
          <w:lang w:val="en-GB"/>
        </w:rPr>
        <w:t>commentators</w:t>
      </w:r>
      <w:r>
        <w:rPr>
          <w:rFonts w:cs="Times New Roman"/>
          <w:sz w:val="24"/>
          <w:szCs w:val="24"/>
          <w:lang w:val="en-GB"/>
        </w:rPr>
        <w:t xml:space="preserve"> had already</w:t>
      </w:r>
      <w:r>
        <w:rPr>
          <w:rFonts w:cs="Times New Roman"/>
          <w:sz w:val="24"/>
          <w:szCs w:val="24"/>
          <w:lang w:val="en-GB"/>
        </w:rPr>
        <w:t xml:space="preserve"> noted </w:t>
      </w:r>
      <w:r>
        <w:rPr>
          <w:rFonts w:cs="Times New Roman"/>
          <w:sz w:val="24"/>
          <w:szCs w:val="24"/>
          <w:lang w:val="en-GB"/>
        </w:rPr>
        <w:t xml:space="preserve">early on </w:t>
      </w:r>
      <w:r>
        <w:rPr>
          <w:rFonts w:cs="Times New Roman"/>
          <w:sz w:val="24"/>
          <w:szCs w:val="24"/>
          <w:lang w:val="en-GB"/>
        </w:rPr>
        <w:t xml:space="preserve">that </w:t>
      </w:r>
      <w:r>
        <w:rPr>
          <w:rFonts w:cs="Times New Roman"/>
          <w:sz w:val="24"/>
          <w:szCs w:val="24"/>
          <w:lang w:val="en-GB"/>
        </w:rPr>
        <w:t>applying</w:t>
      </w:r>
      <w:r>
        <w:rPr>
          <w:rFonts w:cs="Times New Roman"/>
          <w:sz w:val="24"/>
          <w:szCs w:val="24"/>
          <w:lang w:val="en-GB"/>
        </w:rPr>
        <w:t xml:space="preserve"> </w:t>
      </w:r>
      <w:r>
        <w:rPr>
          <w:rFonts w:cs="Times New Roman"/>
          <w:sz w:val="24"/>
          <w:szCs w:val="24"/>
          <w:lang w:val="en-GB"/>
        </w:rPr>
        <w:t>the distinction between Articles 290 and 291 TFEU in</w:t>
      </w:r>
      <w:r>
        <w:rPr>
          <w:rFonts w:cs="Times New Roman"/>
          <w:sz w:val="24"/>
          <w:szCs w:val="24"/>
          <w:lang w:val="en-GB"/>
        </w:rPr>
        <w:t xml:space="preserve"> practice might not be an easy undertaking.</w:t>
      </w:r>
      <w:bookmarkStart w:id="2" w:name="_Ref445544608"/>
      <w:r>
        <w:rPr>
          <w:rStyle w:val="Voetnootmarkering"/>
          <w:rFonts w:cs="Times New Roman"/>
          <w:sz w:val="24"/>
          <w:szCs w:val="24"/>
          <w:lang w:val="en-GB"/>
        </w:rPr>
        <w:footnoteReference w:id="21"/>
      </w:r>
      <w:bookmarkEnd w:id="2"/>
      <w:r>
        <w:rPr>
          <w:rFonts w:cs="Times New Roman"/>
          <w:sz w:val="24"/>
          <w:szCs w:val="24"/>
          <w:lang w:val="en-GB"/>
        </w:rPr>
        <w:t xml:space="preserve"> A delegated act supplementing a legislative act, or an implementing act implementing a legislative act might, after all, be difficult to distinguish </w:t>
      </w:r>
      <w:r>
        <w:rPr>
          <w:rFonts w:cs="Times New Roman"/>
          <w:sz w:val="24"/>
          <w:szCs w:val="24"/>
          <w:lang w:val="en-GB"/>
        </w:rPr>
        <w:t>b</w:t>
      </w:r>
      <w:r>
        <w:rPr>
          <w:rFonts w:cs="Times New Roman"/>
          <w:sz w:val="24"/>
          <w:szCs w:val="24"/>
          <w:lang w:val="en-GB"/>
        </w:rPr>
        <w:t xml:space="preserve">ecause </w:t>
      </w:r>
      <w:r>
        <w:rPr>
          <w:rFonts w:cs="Times New Roman"/>
          <w:sz w:val="24"/>
          <w:szCs w:val="24"/>
          <w:lang w:val="en-GB"/>
        </w:rPr>
        <w:t>in both cases something is ‘added’ to the (basic) legislative act.</w:t>
      </w:r>
      <w:r>
        <w:rPr>
          <w:rStyle w:val="Voetnootmarkering"/>
          <w:rFonts w:cs="Times New Roman"/>
          <w:sz w:val="24"/>
          <w:szCs w:val="24"/>
          <w:lang w:val="en-GB"/>
        </w:rPr>
        <w:footnoteReference w:id="22"/>
      </w:r>
      <w:r>
        <w:rPr>
          <w:rFonts w:cs="Times New Roman"/>
          <w:sz w:val="24"/>
          <w:szCs w:val="24"/>
          <w:lang w:val="en-GB"/>
        </w:rPr>
        <w:t xml:space="preserve"> This basic difficulty posed itself in the present case and it was further complicated by the aggravating factor that the Court had to deal with the PRAC, a procedure which finds its</w:t>
      </w:r>
      <w:r>
        <w:rPr>
          <w:rFonts w:cs="Times New Roman"/>
          <w:sz w:val="24"/>
          <w:szCs w:val="24"/>
          <w:lang w:val="en-GB"/>
        </w:rPr>
        <w:t xml:space="preserve"> origins under Article 202 EC but which still lives on post-Lisbon as long as the many references to the PRAC in secondary legislation have not been updated in the light of Articles 290 and 291 TFEU (</w:t>
      </w:r>
      <w:r>
        <w:rPr>
          <w:rFonts w:cs="Times New Roman"/>
          <w:sz w:val="24"/>
          <w:szCs w:val="24"/>
          <w:lang w:val="en-GB"/>
        </w:rPr>
        <w:t>compare above</w:t>
      </w:r>
      <w:r>
        <w:rPr>
          <w:rFonts w:cs="Times New Roman"/>
          <w:sz w:val="24"/>
          <w:szCs w:val="24"/>
          <w:lang w:val="en-GB"/>
        </w:rPr>
        <w:t>).</w:t>
      </w:r>
    </w:p>
    <w:p w14:paraId="638378FA" w14:textId="77777777" w:rsidR="005E3788" w:rsidRDefault="00B74D0E">
      <w:pPr>
        <w:spacing w:line="360" w:lineRule="auto"/>
        <w:rPr>
          <w:rFonts w:cs="Times New Roman"/>
          <w:sz w:val="24"/>
          <w:szCs w:val="24"/>
          <w:lang w:val="en-GB"/>
        </w:rPr>
      </w:pPr>
      <w:r>
        <w:rPr>
          <w:rFonts w:cs="Times New Roman"/>
          <w:sz w:val="24"/>
          <w:szCs w:val="24"/>
          <w:lang w:val="en-GB"/>
        </w:rPr>
        <w:t xml:space="preserve">The Court in its judgment then </w:t>
      </w:r>
      <w:r>
        <w:rPr>
          <w:rFonts w:cs="Times New Roman"/>
          <w:sz w:val="24"/>
          <w:szCs w:val="24"/>
          <w:lang w:val="en-GB"/>
        </w:rPr>
        <w:t xml:space="preserve">seems driven by a concern to uphold the Lisbon Treaty’s reform of Articles 290 and 291 TFEU, oblivious of the fact that the PRAC does not come under either of both Articles. Indeed, the question </w:t>
      </w:r>
      <w:r>
        <w:rPr>
          <w:rFonts w:cs="Times New Roman"/>
          <w:i/>
          <w:sz w:val="24"/>
          <w:szCs w:val="24"/>
          <w:lang w:val="en-GB"/>
        </w:rPr>
        <w:t>in casu</w:t>
      </w:r>
      <w:r>
        <w:rPr>
          <w:rFonts w:cs="Times New Roman"/>
          <w:sz w:val="24"/>
          <w:szCs w:val="24"/>
          <w:lang w:val="en-GB"/>
        </w:rPr>
        <w:t xml:space="preserve"> was whether the PRAC ought to be used to adopt the gu</w:t>
      </w:r>
      <w:r>
        <w:rPr>
          <w:rFonts w:cs="Times New Roman"/>
          <w:sz w:val="24"/>
          <w:szCs w:val="24"/>
          <w:lang w:val="en-GB"/>
        </w:rPr>
        <w:t>idelines and manuals. To answer this question, one first ought to look at the PRAC’s field of application as defined by the second comitology decision. According to the latter, the measures which may be adopted through the PRAC should be measures of genera</w:t>
      </w:r>
      <w:r>
        <w:rPr>
          <w:rFonts w:cs="Times New Roman"/>
          <w:sz w:val="24"/>
          <w:szCs w:val="24"/>
          <w:lang w:val="en-GB"/>
        </w:rPr>
        <w:t xml:space="preserve">l application which delete certain non-essential elements of a legislative act (not relevant </w:t>
      </w:r>
      <w:r>
        <w:rPr>
          <w:rFonts w:cs="Times New Roman"/>
          <w:i/>
          <w:sz w:val="24"/>
          <w:szCs w:val="24"/>
          <w:lang w:val="en-GB"/>
        </w:rPr>
        <w:t>in casu</w:t>
      </w:r>
      <w:r>
        <w:rPr>
          <w:rFonts w:cs="Times New Roman"/>
          <w:sz w:val="24"/>
          <w:szCs w:val="24"/>
          <w:lang w:val="en-GB"/>
        </w:rPr>
        <w:t>) or which supplement the legislative act by adding new non-essential elements.</w:t>
      </w:r>
    </w:p>
    <w:p w14:paraId="45C4F58C" w14:textId="569EC5A5" w:rsidR="005E3788" w:rsidRDefault="00B74D0E">
      <w:pPr>
        <w:spacing w:line="360" w:lineRule="auto"/>
        <w:rPr>
          <w:rFonts w:cs="Times New Roman"/>
          <w:sz w:val="24"/>
          <w:szCs w:val="24"/>
          <w:lang w:val="en-GB"/>
        </w:rPr>
      </w:pPr>
      <w:r>
        <w:rPr>
          <w:rFonts w:cs="Times New Roman"/>
          <w:sz w:val="24"/>
          <w:szCs w:val="24"/>
          <w:lang w:val="en-GB"/>
        </w:rPr>
        <w:t>Had the Court taken this approach, it would have had to address the question</w:t>
      </w:r>
      <w:r>
        <w:rPr>
          <w:rFonts w:cs="Times New Roman"/>
          <w:sz w:val="24"/>
          <w:szCs w:val="24"/>
          <w:lang w:val="en-GB"/>
        </w:rPr>
        <w:t xml:space="preserve"> of whether the guidelines and manuals (which clearly would not delete non-essential elements of the basic legislative act) would supplement the legislative act. Here it is worth stressing the difference in wording between Article 2(2) of the comitology de</w:t>
      </w:r>
      <w:r>
        <w:rPr>
          <w:rFonts w:cs="Times New Roman"/>
          <w:sz w:val="24"/>
          <w:szCs w:val="24"/>
          <w:lang w:val="en-GB"/>
        </w:rPr>
        <w:t xml:space="preserve">cision (defining the PRAC’s field of application) and Article 290 TFEU. Whereas the latter refers to ‘amending’ and ‘supplementing’ as two different techniques, a distinction recently stressed by the Court in the </w:t>
      </w:r>
      <w:r>
        <w:rPr>
          <w:rFonts w:cs="Times New Roman"/>
          <w:i/>
          <w:sz w:val="24"/>
          <w:szCs w:val="24"/>
          <w:lang w:val="en-GB"/>
        </w:rPr>
        <w:t>Connecting Europe Facility</w:t>
      </w:r>
      <w:r>
        <w:rPr>
          <w:rFonts w:cs="Times New Roman"/>
          <w:sz w:val="24"/>
          <w:szCs w:val="24"/>
          <w:lang w:val="en-GB"/>
        </w:rPr>
        <w:t xml:space="preserve"> case,</w:t>
      </w:r>
      <w:r>
        <w:rPr>
          <w:rStyle w:val="Voetnootmarkering"/>
          <w:rFonts w:cs="Times New Roman"/>
          <w:sz w:val="24"/>
          <w:szCs w:val="24"/>
          <w:lang w:val="en-GB"/>
        </w:rPr>
        <w:footnoteReference w:id="23"/>
      </w:r>
      <w:r>
        <w:rPr>
          <w:rFonts w:cs="Times New Roman"/>
          <w:sz w:val="24"/>
          <w:szCs w:val="24"/>
          <w:lang w:val="en-GB"/>
        </w:rPr>
        <w:t xml:space="preserve"> the comit</w:t>
      </w:r>
      <w:r>
        <w:rPr>
          <w:rFonts w:cs="Times New Roman"/>
          <w:sz w:val="24"/>
          <w:szCs w:val="24"/>
          <w:lang w:val="en-GB"/>
        </w:rPr>
        <w:t xml:space="preserve">ology decision refers to amending as </w:t>
      </w:r>
      <w:r>
        <w:rPr>
          <w:rFonts w:cs="Times New Roman"/>
          <w:sz w:val="24"/>
          <w:szCs w:val="24"/>
          <w:lang w:val="en-GB"/>
        </w:rPr>
        <w:t>‘</w:t>
      </w:r>
      <w:r w:rsidRPr="00B74D0E">
        <w:rPr>
          <w:rFonts w:cs="Times New Roman"/>
          <w:sz w:val="24"/>
          <w:szCs w:val="24"/>
          <w:lang w:val="en-GB"/>
        </w:rPr>
        <w:t xml:space="preserve">inter alia </w:t>
      </w:r>
      <w:r>
        <w:rPr>
          <w:rFonts w:cs="Times New Roman"/>
          <w:sz w:val="24"/>
          <w:szCs w:val="24"/>
          <w:lang w:val="en-GB"/>
        </w:rPr>
        <w:t>(</w:t>
      </w:r>
      <w:r w:rsidRPr="00B74D0E">
        <w:rPr>
          <w:rFonts w:cs="Times New Roman"/>
          <w:sz w:val="24"/>
          <w:szCs w:val="24"/>
          <w:lang w:val="en-GB"/>
        </w:rPr>
        <w:t>…</w:t>
      </w:r>
      <w:r>
        <w:rPr>
          <w:rFonts w:cs="Times New Roman"/>
          <w:sz w:val="24"/>
          <w:szCs w:val="24"/>
          <w:lang w:val="en-GB"/>
        </w:rPr>
        <w:t>)</w:t>
      </w:r>
      <w:r w:rsidRPr="00B74D0E">
        <w:rPr>
          <w:rFonts w:cs="Times New Roman"/>
          <w:sz w:val="24"/>
          <w:szCs w:val="24"/>
          <w:lang w:val="en-GB"/>
        </w:rPr>
        <w:t xml:space="preserve"> deleting some </w:t>
      </w:r>
      <w:r>
        <w:rPr>
          <w:rFonts w:cs="Times New Roman"/>
          <w:sz w:val="24"/>
          <w:szCs w:val="24"/>
          <w:lang w:val="en-GB"/>
        </w:rPr>
        <w:t>(</w:t>
      </w:r>
      <w:r w:rsidRPr="00B74D0E">
        <w:rPr>
          <w:rFonts w:cs="Times New Roman"/>
          <w:sz w:val="24"/>
          <w:szCs w:val="24"/>
          <w:lang w:val="en-GB"/>
        </w:rPr>
        <w:t>…</w:t>
      </w:r>
      <w:r>
        <w:rPr>
          <w:rFonts w:cs="Times New Roman"/>
          <w:sz w:val="24"/>
          <w:szCs w:val="24"/>
          <w:lang w:val="en-GB"/>
        </w:rPr>
        <w:t>)</w:t>
      </w:r>
      <w:r w:rsidRPr="00B74D0E">
        <w:rPr>
          <w:rFonts w:cs="Times New Roman"/>
          <w:sz w:val="24"/>
          <w:szCs w:val="24"/>
          <w:lang w:val="en-GB"/>
        </w:rPr>
        <w:t xml:space="preserve"> elements or </w:t>
      </w:r>
      <w:r>
        <w:rPr>
          <w:rFonts w:cs="Times New Roman"/>
          <w:sz w:val="24"/>
          <w:szCs w:val="24"/>
          <w:lang w:val="en-GB"/>
        </w:rPr>
        <w:t>(</w:t>
      </w:r>
      <w:r w:rsidRPr="00B74D0E">
        <w:rPr>
          <w:rFonts w:cs="Times New Roman"/>
          <w:sz w:val="24"/>
          <w:szCs w:val="24"/>
          <w:lang w:val="en-GB"/>
        </w:rPr>
        <w:t>…</w:t>
      </w:r>
      <w:r>
        <w:rPr>
          <w:rFonts w:cs="Times New Roman"/>
          <w:sz w:val="24"/>
          <w:szCs w:val="24"/>
          <w:lang w:val="en-GB"/>
        </w:rPr>
        <w:t>)</w:t>
      </w:r>
      <w:r w:rsidRPr="00B74D0E">
        <w:rPr>
          <w:rFonts w:cs="Times New Roman"/>
          <w:sz w:val="24"/>
          <w:szCs w:val="24"/>
          <w:lang w:val="en-GB"/>
        </w:rPr>
        <w:t xml:space="preserve"> supplementing the instrument by the addition of new </w:t>
      </w:r>
      <w:r>
        <w:rPr>
          <w:rFonts w:cs="Times New Roman"/>
          <w:sz w:val="24"/>
          <w:szCs w:val="24"/>
          <w:lang w:val="en-GB"/>
        </w:rPr>
        <w:t>(</w:t>
      </w:r>
      <w:r w:rsidRPr="00B74D0E">
        <w:rPr>
          <w:rFonts w:cs="Times New Roman"/>
          <w:sz w:val="24"/>
          <w:szCs w:val="24"/>
          <w:lang w:val="en-GB"/>
        </w:rPr>
        <w:t>…</w:t>
      </w:r>
      <w:r>
        <w:rPr>
          <w:rFonts w:cs="Times New Roman"/>
          <w:sz w:val="24"/>
          <w:szCs w:val="24"/>
          <w:lang w:val="en-GB"/>
        </w:rPr>
        <w:t>)</w:t>
      </w:r>
      <w:r w:rsidRPr="00B74D0E">
        <w:rPr>
          <w:rFonts w:cs="Times New Roman"/>
          <w:sz w:val="24"/>
          <w:szCs w:val="24"/>
          <w:lang w:val="en-GB"/>
        </w:rPr>
        <w:t xml:space="preserve"> elements</w:t>
      </w:r>
      <w:r w:rsidRPr="00B74D0E">
        <w:rPr>
          <w:rFonts w:cs="Times New Roman"/>
          <w:sz w:val="24"/>
          <w:szCs w:val="24"/>
          <w:lang w:val="en-GB"/>
        </w:rPr>
        <w:t>’</w:t>
      </w:r>
      <w:r>
        <w:rPr>
          <w:rFonts w:cs="Times New Roman"/>
          <w:sz w:val="24"/>
          <w:szCs w:val="24"/>
          <w:lang w:val="en-GB"/>
        </w:rPr>
        <w:t>.</w:t>
      </w:r>
      <w:r>
        <w:rPr>
          <w:rFonts w:cs="Times New Roman"/>
          <w:sz w:val="24"/>
          <w:szCs w:val="24"/>
          <w:lang w:val="en-GB"/>
        </w:rPr>
        <w:t xml:space="preserve"> The awkward phrasing was the result of a disagreement among some Member States about the type of measures which ought to be adopted using the new procedure. While all Member States agreed that the PRAC should be used to adopt quasi-legislative measures,</w:t>
      </w:r>
      <w:r>
        <w:rPr>
          <w:rStyle w:val="Voetnootmarkering"/>
          <w:rFonts w:cs="Times New Roman"/>
          <w:sz w:val="24"/>
          <w:szCs w:val="24"/>
          <w:lang w:val="en-GB"/>
        </w:rPr>
        <w:footnoteReference w:id="24"/>
      </w:r>
      <w:r>
        <w:rPr>
          <w:rFonts w:cs="Times New Roman"/>
          <w:sz w:val="24"/>
          <w:szCs w:val="24"/>
          <w:lang w:val="en-GB"/>
        </w:rPr>
        <w:t xml:space="preserve"> </w:t>
      </w:r>
      <w:r>
        <w:rPr>
          <w:rFonts w:cs="Times New Roman"/>
          <w:sz w:val="24"/>
          <w:szCs w:val="24"/>
          <w:lang w:val="en-GB"/>
        </w:rPr>
        <w:t>some Member States preferred a minimalistic approach restricted to measures that formally change a legislative act, while others wanted to include quasi-legislative measures, in so far as they are not implementing measures, supplementing a legislative act.</w:t>
      </w:r>
      <w:r>
        <w:rPr>
          <w:rStyle w:val="Voetnootmarkering"/>
          <w:rFonts w:cs="Times New Roman"/>
          <w:sz w:val="24"/>
          <w:szCs w:val="24"/>
          <w:lang w:val="en-GB"/>
        </w:rPr>
        <w:footnoteReference w:id="25"/>
      </w:r>
      <w:r>
        <w:rPr>
          <w:rFonts w:cs="Times New Roman"/>
          <w:sz w:val="24"/>
          <w:szCs w:val="24"/>
          <w:lang w:val="en-GB"/>
        </w:rPr>
        <w:t xml:space="preserve"> With the backing of the European Parliament, the second group got the upper hand even if it was already clear at the time that distinguishing between quasi-legislative measures supplementing a legislative act and implementing measures supplementing a leg</w:t>
      </w:r>
      <w:r>
        <w:rPr>
          <w:rFonts w:cs="Times New Roman"/>
          <w:sz w:val="24"/>
          <w:szCs w:val="24"/>
          <w:lang w:val="en-GB"/>
        </w:rPr>
        <w:t>islative act would sometimes be difficult.</w:t>
      </w:r>
      <w:r>
        <w:rPr>
          <w:rStyle w:val="Voetnootmarkering"/>
          <w:rFonts w:cs="Times New Roman"/>
          <w:sz w:val="24"/>
          <w:szCs w:val="24"/>
          <w:lang w:val="en-GB"/>
        </w:rPr>
        <w:footnoteReference w:id="26"/>
      </w:r>
      <w:r>
        <w:rPr>
          <w:rFonts w:cs="Times New Roman"/>
          <w:sz w:val="24"/>
          <w:szCs w:val="24"/>
          <w:lang w:val="en-GB"/>
        </w:rPr>
        <w:t xml:space="preserve"> Only the former would then come under the PRAC as was stressed by the Council Legal Service in its opinion on the 2006 amendment to the second comitology decision.</w:t>
      </w:r>
      <w:r>
        <w:rPr>
          <w:rStyle w:val="Voetnootmarkering"/>
          <w:rFonts w:cs="Times New Roman"/>
          <w:sz w:val="24"/>
          <w:szCs w:val="24"/>
          <w:lang w:val="en-GB"/>
        </w:rPr>
        <w:footnoteReference w:id="27"/>
      </w:r>
    </w:p>
    <w:p w14:paraId="300CD6D3" w14:textId="47D30591" w:rsidR="005E3788" w:rsidRDefault="00B74D0E">
      <w:pPr>
        <w:spacing w:line="360" w:lineRule="auto"/>
        <w:rPr>
          <w:rFonts w:cs="Times New Roman"/>
          <w:sz w:val="24"/>
          <w:szCs w:val="24"/>
          <w:lang w:val="en-GB"/>
        </w:rPr>
      </w:pPr>
      <w:r>
        <w:rPr>
          <w:rFonts w:cs="Times New Roman"/>
          <w:sz w:val="24"/>
          <w:szCs w:val="24"/>
          <w:lang w:val="en-GB"/>
        </w:rPr>
        <w:t>The question which the General Court then ought</w:t>
      </w:r>
      <w:r>
        <w:rPr>
          <w:rFonts w:cs="Times New Roman"/>
          <w:sz w:val="24"/>
          <w:szCs w:val="24"/>
          <w:lang w:val="en-GB"/>
        </w:rPr>
        <w:t xml:space="preserve"> to have addressed was whether the guidelines and manuals to be adopted by Eurostat, supplementing Regulation 2494/95, would amount to quasi-legislative measures or instead whether the regulation would merely be implemented, </w:t>
      </w:r>
      <w:r>
        <w:rPr>
          <w:rFonts w:cs="Times New Roman"/>
          <w:sz w:val="24"/>
          <w:szCs w:val="24"/>
          <w:lang w:val="en-GB"/>
        </w:rPr>
        <w:t>that is,</w:t>
      </w:r>
      <w:r>
        <w:rPr>
          <w:rFonts w:cs="Times New Roman"/>
          <w:sz w:val="24"/>
          <w:szCs w:val="24"/>
          <w:lang w:val="en-GB"/>
        </w:rPr>
        <w:t xml:space="preserve"> given practical ef</w:t>
      </w:r>
      <w:r>
        <w:rPr>
          <w:rFonts w:cs="Times New Roman"/>
          <w:sz w:val="24"/>
          <w:szCs w:val="24"/>
          <w:lang w:val="en-GB"/>
        </w:rPr>
        <w:t>fect.</w:t>
      </w:r>
      <w:r>
        <w:rPr>
          <w:rStyle w:val="Voetnootmarkering"/>
          <w:rFonts w:cs="Times New Roman"/>
          <w:sz w:val="24"/>
          <w:szCs w:val="24"/>
          <w:lang w:val="en-GB"/>
        </w:rPr>
        <w:footnoteReference w:id="28"/>
      </w:r>
      <w:r>
        <w:rPr>
          <w:rFonts w:cs="Times New Roman"/>
          <w:sz w:val="24"/>
          <w:szCs w:val="24"/>
          <w:lang w:val="en-GB"/>
        </w:rPr>
        <w:t xml:space="preserve"> </w:t>
      </w:r>
      <w:r>
        <w:rPr>
          <w:rFonts w:cs="Times New Roman"/>
          <w:sz w:val="24"/>
          <w:szCs w:val="24"/>
          <w:lang w:val="en-GB"/>
        </w:rPr>
        <w:t xml:space="preserve">They </w:t>
      </w:r>
      <w:r>
        <w:rPr>
          <w:rFonts w:cs="Times New Roman"/>
          <w:sz w:val="24"/>
          <w:szCs w:val="24"/>
          <w:lang w:val="en-GB"/>
        </w:rPr>
        <w:t xml:space="preserve">should </w:t>
      </w:r>
      <w:r>
        <w:rPr>
          <w:rFonts w:cs="Times New Roman"/>
          <w:sz w:val="24"/>
          <w:szCs w:val="24"/>
          <w:lang w:val="en-GB"/>
        </w:rPr>
        <w:t>only</w:t>
      </w:r>
      <w:r>
        <w:rPr>
          <w:rFonts w:cs="Times New Roman"/>
          <w:sz w:val="24"/>
          <w:szCs w:val="24"/>
          <w:lang w:val="en-GB"/>
        </w:rPr>
        <w:t xml:space="preserve"> be adopted pursuant to the PRAC</w:t>
      </w:r>
      <w:r>
        <w:rPr>
          <w:rFonts w:cs="Times New Roman"/>
          <w:sz w:val="24"/>
          <w:szCs w:val="24"/>
          <w:lang w:val="en-GB"/>
        </w:rPr>
        <w:t xml:space="preserve"> if they are quasi-legislative measures</w:t>
      </w:r>
      <w:r>
        <w:rPr>
          <w:rFonts w:cs="Times New Roman"/>
          <w:sz w:val="24"/>
          <w:szCs w:val="24"/>
          <w:lang w:val="en-GB"/>
        </w:rPr>
        <w:t>. In fact, the General Court addressed this question</w:t>
      </w:r>
      <w:r>
        <w:rPr>
          <w:rFonts w:cs="Times New Roman"/>
          <w:sz w:val="24"/>
          <w:szCs w:val="24"/>
          <w:lang w:val="en-GB"/>
        </w:rPr>
        <w:t xml:space="preserve"> </w:t>
      </w:r>
      <w:r>
        <w:rPr>
          <w:rFonts w:cs="Times New Roman"/>
          <w:sz w:val="24"/>
          <w:szCs w:val="24"/>
          <w:lang w:val="en-GB"/>
        </w:rPr>
        <w:t>but subsequently drew the wrong conclusions. It found that Eu</w:t>
      </w:r>
      <w:r>
        <w:rPr>
          <w:rFonts w:cs="Times New Roman"/>
          <w:sz w:val="24"/>
          <w:szCs w:val="24"/>
          <w:lang w:val="en-GB"/>
        </w:rPr>
        <w:t>rostat’s guidelines and manuals would come under the Article 291 TFEU notion of implementation ignoring the fact that acts adopted pursuant to the PRAC, in principle, can never come under the Article 291 TFEU notion of implementation as defined by the Cour</w:t>
      </w:r>
      <w:r>
        <w:rPr>
          <w:rFonts w:cs="Times New Roman"/>
          <w:sz w:val="24"/>
          <w:szCs w:val="24"/>
          <w:lang w:val="en-GB"/>
        </w:rPr>
        <w:t xml:space="preserve">t in </w:t>
      </w:r>
      <w:r>
        <w:rPr>
          <w:rFonts w:cs="Times New Roman"/>
          <w:i/>
          <w:sz w:val="24"/>
          <w:szCs w:val="24"/>
          <w:lang w:val="en-GB"/>
        </w:rPr>
        <w:t>Biocides</w:t>
      </w:r>
      <w:r>
        <w:rPr>
          <w:rFonts w:cs="Times New Roman"/>
          <w:sz w:val="24"/>
          <w:szCs w:val="24"/>
          <w:lang w:val="en-GB"/>
        </w:rPr>
        <w:t xml:space="preserve">. </w:t>
      </w:r>
    </w:p>
    <w:p w14:paraId="779A23C2" w14:textId="085DBC82" w:rsidR="005E3788" w:rsidRDefault="00B74D0E">
      <w:pPr>
        <w:spacing w:line="360" w:lineRule="auto"/>
        <w:rPr>
          <w:rFonts w:cs="Times New Roman"/>
          <w:sz w:val="24"/>
          <w:szCs w:val="24"/>
          <w:lang w:val="en-GB"/>
        </w:rPr>
      </w:pPr>
      <w:r>
        <w:rPr>
          <w:rFonts w:cs="Times New Roman"/>
          <w:sz w:val="24"/>
          <w:szCs w:val="24"/>
          <w:lang w:val="en-GB"/>
        </w:rPr>
        <w:t xml:space="preserve">Had the General Court followed the line of reasoning suggested here, it would then be faced with a similar situation as the one which was at issue before the </w:t>
      </w:r>
      <w:r>
        <w:rPr>
          <w:rFonts w:cs="Times New Roman"/>
          <w:sz w:val="24"/>
          <w:szCs w:val="24"/>
          <w:lang w:val="en-GB"/>
        </w:rPr>
        <w:t>CJEU</w:t>
      </w:r>
      <w:r>
        <w:rPr>
          <w:rFonts w:cs="Times New Roman"/>
          <w:sz w:val="24"/>
          <w:szCs w:val="24"/>
          <w:lang w:val="en-GB"/>
        </w:rPr>
        <w:t xml:space="preserve"> in </w:t>
      </w:r>
      <w:r>
        <w:rPr>
          <w:rFonts w:cs="Times New Roman"/>
          <w:i/>
          <w:sz w:val="24"/>
          <w:szCs w:val="24"/>
          <w:lang w:val="en-GB"/>
        </w:rPr>
        <w:t>Common Market Fertilizers</w:t>
      </w:r>
      <w:r>
        <w:rPr>
          <w:rFonts w:cs="Times New Roman"/>
          <w:sz w:val="24"/>
          <w:szCs w:val="24"/>
          <w:lang w:val="en-GB"/>
        </w:rPr>
        <w:t>.</w:t>
      </w:r>
      <w:r>
        <w:rPr>
          <w:rStyle w:val="Voetnootmarkering"/>
          <w:rFonts w:cs="Times New Roman"/>
          <w:sz w:val="24"/>
          <w:szCs w:val="24"/>
          <w:lang w:val="en-GB"/>
        </w:rPr>
        <w:footnoteReference w:id="29"/>
      </w:r>
      <w:r>
        <w:rPr>
          <w:rFonts w:cs="Times New Roman"/>
          <w:sz w:val="24"/>
          <w:szCs w:val="24"/>
          <w:lang w:val="en-GB"/>
        </w:rPr>
        <w:t xml:space="preserve"> In that case, the Commission had been empowered by the Council to adopt measures, pursuant to the regulatory comitology procedure, implementing (under </w:t>
      </w:r>
      <w:r w:rsidR="00297C74">
        <w:rPr>
          <w:rFonts w:cs="Times New Roman"/>
          <w:sz w:val="24"/>
          <w:szCs w:val="24"/>
          <w:lang w:val="en-GB"/>
        </w:rPr>
        <w:t xml:space="preserve">ex </w:t>
      </w:r>
      <w:r>
        <w:rPr>
          <w:rFonts w:cs="Times New Roman"/>
          <w:sz w:val="24"/>
          <w:szCs w:val="24"/>
          <w:lang w:val="en-GB"/>
        </w:rPr>
        <w:t>Article 202 EC) the EC Customs Code. In one of these implementing measures, the Commission granted itsel</w:t>
      </w:r>
      <w:r>
        <w:rPr>
          <w:rFonts w:cs="Times New Roman"/>
          <w:sz w:val="24"/>
          <w:szCs w:val="24"/>
          <w:lang w:val="en-GB"/>
        </w:rPr>
        <w:t>f a further power to adopt individual decisions (on remission and repayment of customs duties) without having to go through the regulatory comitology procedure. Common Market Fertilize</w:t>
      </w:r>
      <w:r>
        <w:rPr>
          <w:rFonts w:cs="Times New Roman"/>
          <w:sz w:val="24"/>
          <w:szCs w:val="24"/>
          <w:lang w:val="en-GB"/>
        </w:rPr>
        <w:t>r</w:t>
      </w:r>
      <w:r>
        <w:rPr>
          <w:rFonts w:cs="Times New Roman"/>
          <w:sz w:val="24"/>
          <w:szCs w:val="24"/>
          <w:lang w:val="en-GB"/>
        </w:rPr>
        <w:t>s, a company affected by such an individual decision</w:t>
      </w:r>
      <w:r>
        <w:rPr>
          <w:rFonts w:cs="Times New Roman"/>
          <w:sz w:val="24"/>
          <w:szCs w:val="24"/>
          <w:lang w:val="en-GB"/>
        </w:rPr>
        <w:t>,</w:t>
      </w:r>
      <w:r>
        <w:rPr>
          <w:rFonts w:cs="Times New Roman"/>
          <w:sz w:val="24"/>
          <w:szCs w:val="24"/>
          <w:lang w:val="en-GB"/>
        </w:rPr>
        <w:t xml:space="preserve"> argued that the C</w:t>
      </w:r>
      <w:r>
        <w:rPr>
          <w:rFonts w:cs="Times New Roman"/>
          <w:sz w:val="24"/>
          <w:szCs w:val="24"/>
          <w:lang w:val="en-GB"/>
        </w:rPr>
        <w:t xml:space="preserve">ommission had thereby acted </w:t>
      </w:r>
      <w:r>
        <w:rPr>
          <w:rFonts w:cs="Times New Roman"/>
          <w:i/>
          <w:sz w:val="24"/>
          <w:szCs w:val="24"/>
          <w:lang w:val="en-GB"/>
        </w:rPr>
        <w:t>ultra vires</w:t>
      </w:r>
      <w:r>
        <w:rPr>
          <w:rFonts w:cs="Times New Roman"/>
          <w:sz w:val="24"/>
          <w:szCs w:val="24"/>
          <w:lang w:val="en-GB"/>
        </w:rPr>
        <w:t xml:space="preserve"> and that it should have prescribed the regulatory comitology procedure to adopt such individual decisions. The </w:t>
      </w:r>
      <w:r>
        <w:rPr>
          <w:rFonts w:cs="Times New Roman"/>
          <w:sz w:val="24"/>
          <w:szCs w:val="24"/>
          <w:lang w:val="en-GB"/>
        </w:rPr>
        <w:t>CJEU</w:t>
      </w:r>
      <w:r>
        <w:rPr>
          <w:rFonts w:cs="Times New Roman"/>
          <w:sz w:val="24"/>
          <w:szCs w:val="24"/>
          <w:lang w:val="en-GB"/>
        </w:rPr>
        <w:t xml:space="preserve"> however referred back to the (second) comitology decision which prescribes that the </w:t>
      </w:r>
      <w:r>
        <w:rPr>
          <w:rFonts w:cs="Times New Roman"/>
          <w:sz w:val="24"/>
          <w:szCs w:val="24"/>
          <w:lang w:val="en-GB"/>
        </w:rPr>
        <w:t>regulatory procedure is to be used to adopt measures of general application.</w:t>
      </w:r>
      <w:r>
        <w:rPr>
          <w:rStyle w:val="Voetnootmarkering"/>
          <w:rFonts w:cs="Times New Roman"/>
          <w:sz w:val="24"/>
          <w:szCs w:val="24"/>
          <w:lang w:val="en-GB"/>
        </w:rPr>
        <w:footnoteReference w:id="30"/>
      </w:r>
      <w:r>
        <w:rPr>
          <w:rFonts w:cs="Times New Roman"/>
          <w:sz w:val="24"/>
          <w:szCs w:val="24"/>
          <w:lang w:val="en-GB"/>
        </w:rPr>
        <w:t xml:space="preserve"> As a result, that procedure could not be used to adopt individual decisions and the Commission was free to prescribe a different procedure, </w:t>
      </w:r>
      <w:r>
        <w:rPr>
          <w:rFonts w:cs="Times New Roman"/>
          <w:sz w:val="24"/>
          <w:szCs w:val="24"/>
          <w:lang w:val="en-GB"/>
        </w:rPr>
        <w:t xml:space="preserve">as </w:t>
      </w:r>
      <w:r>
        <w:rPr>
          <w:rFonts w:cs="Times New Roman"/>
          <w:sz w:val="24"/>
          <w:szCs w:val="24"/>
          <w:lang w:val="en-GB"/>
        </w:rPr>
        <w:t xml:space="preserve">the Council had </w:t>
      </w:r>
      <w:r>
        <w:rPr>
          <w:rFonts w:cs="Times New Roman"/>
          <w:sz w:val="24"/>
          <w:szCs w:val="24"/>
          <w:lang w:val="en-GB"/>
        </w:rPr>
        <w:t xml:space="preserve">been </w:t>
      </w:r>
      <w:r>
        <w:rPr>
          <w:rFonts w:cs="Times New Roman"/>
          <w:sz w:val="24"/>
          <w:szCs w:val="24"/>
          <w:lang w:val="en-GB"/>
        </w:rPr>
        <w:t>silent on this in its legislative act.</w:t>
      </w:r>
      <w:r>
        <w:rPr>
          <w:rStyle w:val="Voetnootmarkering"/>
          <w:rFonts w:cs="Times New Roman"/>
          <w:sz w:val="24"/>
          <w:szCs w:val="24"/>
          <w:lang w:val="en-GB"/>
        </w:rPr>
        <w:footnoteReference w:id="31"/>
      </w:r>
      <w:r>
        <w:rPr>
          <w:rFonts w:cs="Times New Roman"/>
          <w:sz w:val="24"/>
          <w:szCs w:val="24"/>
          <w:lang w:val="en-GB"/>
        </w:rPr>
        <w:t xml:space="preserve"> In this regard</w:t>
      </w:r>
      <w:r>
        <w:rPr>
          <w:rFonts w:cs="Times New Roman"/>
          <w:sz w:val="24"/>
          <w:szCs w:val="24"/>
          <w:lang w:val="en-GB"/>
        </w:rPr>
        <w:t>,</w:t>
      </w:r>
      <w:r>
        <w:rPr>
          <w:rFonts w:cs="Times New Roman"/>
          <w:sz w:val="24"/>
          <w:szCs w:val="24"/>
          <w:lang w:val="en-GB"/>
        </w:rPr>
        <w:t xml:space="preserve"> Kollmeyer rightly argues that the Court should still have found a problem in the Council’s legislative regulation in so far as it allowed the Commission to adopt these individual implementing measures</w:t>
      </w:r>
      <w:r>
        <w:rPr>
          <w:rFonts w:cs="Times New Roman"/>
          <w:sz w:val="24"/>
          <w:szCs w:val="24"/>
          <w:lang w:val="en-GB"/>
        </w:rPr>
        <w:t xml:space="preserve"> without formal recourse to one of the other procedures of the comitology decision (the management or advisory procedure), the comitology decision being an act of infra-constitutional (organic) law.</w:t>
      </w:r>
      <w:r>
        <w:rPr>
          <w:rStyle w:val="Voetnootmarkering"/>
          <w:rFonts w:cs="Times New Roman"/>
          <w:sz w:val="24"/>
          <w:szCs w:val="24"/>
          <w:lang w:val="en-GB"/>
        </w:rPr>
        <w:footnoteReference w:id="32"/>
      </w:r>
    </w:p>
    <w:p w14:paraId="6F5AB1C6" w14:textId="0F158D83" w:rsidR="005E3788" w:rsidRDefault="00B74D0E">
      <w:pPr>
        <w:spacing w:line="360" w:lineRule="auto"/>
        <w:rPr>
          <w:rFonts w:cs="Times New Roman"/>
          <w:sz w:val="24"/>
          <w:szCs w:val="24"/>
          <w:lang w:val="en-GB"/>
        </w:rPr>
      </w:pPr>
      <w:r>
        <w:rPr>
          <w:rFonts w:cs="Times New Roman"/>
          <w:sz w:val="24"/>
          <w:szCs w:val="24"/>
          <w:lang w:val="en-GB"/>
        </w:rPr>
        <w:t xml:space="preserve">By analogy then, the legislator </w:t>
      </w:r>
      <w:r>
        <w:rPr>
          <w:rFonts w:cs="Times New Roman"/>
          <w:i/>
          <w:sz w:val="24"/>
          <w:szCs w:val="24"/>
          <w:lang w:val="en-GB"/>
        </w:rPr>
        <w:t>in casu</w:t>
      </w:r>
      <w:r>
        <w:rPr>
          <w:rFonts w:cs="Times New Roman"/>
          <w:sz w:val="24"/>
          <w:szCs w:val="24"/>
          <w:lang w:val="en-GB"/>
        </w:rPr>
        <w:t xml:space="preserve"> had prescribed t</w:t>
      </w:r>
      <w:r>
        <w:rPr>
          <w:rFonts w:cs="Times New Roman"/>
          <w:sz w:val="24"/>
          <w:szCs w:val="24"/>
          <w:lang w:val="en-GB"/>
        </w:rPr>
        <w:t>he PRAC, but since that procedure can only be used to adopt measures which supplement the legislative act, while Eurostat’s guidelines and manuals are implementing (in the strict sense) measures, it could not be applicable. Instead, because Eurostat’s meas</w:t>
      </w:r>
      <w:r>
        <w:rPr>
          <w:rFonts w:cs="Times New Roman"/>
          <w:sz w:val="24"/>
          <w:szCs w:val="24"/>
          <w:lang w:val="en-GB"/>
        </w:rPr>
        <w:t>ures are necessary to uniformly implement the rules on consumer price indices (contained in the binding legislative regulation and in the Commission’s regulations), Article 291 TFEU applies and one of the procedures foreseen in the comitology regulation (a</w:t>
      </w:r>
      <w:r>
        <w:rPr>
          <w:rFonts w:cs="Times New Roman"/>
          <w:sz w:val="24"/>
          <w:szCs w:val="24"/>
          <w:lang w:val="en-GB"/>
        </w:rPr>
        <w:t>dopted pursuant to Article 291</w:t>
      </w:r>
      <w:r>
        <w:rPr>
          <w:rFonts w:cs="Times New Roman"/>
          <w:sz w:val="24"/>
          <w:szCs w:val="24"/>
          <w:lang w:val="en-GB"/>
        </w:rPr>
        <w:t>(3) TFEU) ought to have been prescribed. This way, the Netherlands’ third plea should have been rejected but its fourth plea would have been upheld and the General Court would have properly upheld the Lisbon Treaty’s reform i</w:t>
      </w:r>
      <w:r>
        <w:rPr>
          <w:rFonts w:cs="Times New Roman"/>
          <w:sz w:val="24"/>
          <w:szCs w:val="24"/>
          <w:lang w:val="en-GB"/>
        </w:rPr>
        <w:t>n the area of executive decision-making.</w:t>
      </w:r>
    </w:p>
    <w:p w14:paraId="0562F324" w14:textId="77777777" w:rsidR="005E3788" w:rsidRDefault="005E3788">
      <w:pPr>
        <w:spacing w:line="360" w:lineRule="auto"/>
        <w:rPr>
          <w:rFonts w:cs="Times New Roman"/>
          <w:sz w:val="24"/>
          <w:szCs w:val="24"/>
          <w:lang w:val="en-GB"/>
        </w:rPr>
      </w:pPr>
    </w:p>
    <w:p w14:paraId="40166972" w14:textId="77777777" w:rsidR="005E3788" w:rsidRPr="00B74D0E" w:rsidRDefault="00B74D0E">
      <w:pPr>
        <w:spacing w:line="360" w:lineRule="auto"/>
        <w:rPr>
          <w:rFonts w:cs="Times New Roman"/>
          <w:sz w:val="24"/>
          <w:szCs w:val="24"/>
          <w:lang w:val="en-GB"/>
        </w:rPr>
      </w:pPr>
      <w:r>
        <w:rPr>
          <w:rFonts w:cs="Times New Roman"/>
          <w:sz w:val="24"/>
          <w:szCs w:val="24"/>
          <w:lang w:val="en-GB"/>
        </w:rPr>
        <w:t>A. THE PRAC POST-LISBON</w:t>
      </w:r>
    </w:p>
    <w:p w14:paraId="36D80B30" w14:textId="256F1145" w:rsidR="005E3788" w:rsidRDefault="00B74D0E">
      <w:pPr>
        <w:spacing w:line="360" w:lineRule="auto"/>
        <w:rPr>
          <w:rFonts w:cs="Times New Roman"/>
          <w:sz w:val="24"/>
          <w:szCs w:val="24"/>
          <w:lang w:val="en-GB"/>
        </w:rPr>
      </w:pPr>
      <w:r>
        <w:rPr>
          <w:rFonts w:cs="Times New Roman"/>
          <w:sz w:val="24"/>
          <w:szCs w:val="24"/>
          <w:lang w:val="en-GB"/>
        </w:rPr>
        <w:t xml:space="preserve">Although no new references to the PRAC have been introduced in the body of (formal) EU legislation since the entry into force of the Lisbon Treaty over </w:t>
      </w:r>
      <w:r>
        <w:rPr>
          <w:rFonts w:cs="Times New Roman"/>
          <w:sz w:val="24"/>
          <w:szCs w:val="24"/>
          <w:lang w:val="en-GB"/>
        </w:rPr>
        <w:t>six</w:t>
      </w:r>
      <w:r>
        <w:rPr>
          <w:rFonts w:cs="Times New Roman"/>
          <w:sz w:val="24"/>
          <w:szCs w:val="24"/>
          <w:lang w:val="en-GB"/>
        </w:rPr>
        <w:t xml:space="preserve"> years ago, the legislation curren</w:t>
      </w:r>
      <w:r>
        <w:rPr>
          <w:rFonts w:cs="Times New Roman"/>
          <w:sz w:val="24"/>
          <w:szCs w:val="24"/>
          <w:lang w:val="en-GB"/>
        </w:rPr>
        <w:t>tly in force still contains ample references to the procedure. As noted above, the Commission had initially planned to have updated the acquis to the new reality of Articles 290 and 291 TFEU by the end of the 7</w:t>
      </w:r>
      <w:r w:rsidRPr="00B74D0E">
        <w:rPr>
          <w:rFonts w:cs="Times New Roman"/>
          <w:sz w:val="24"/>
          <w:szCs w:val="24"/>
          <w:vertAlign w:val="superscript"/>
          <w:lang w:val="en-GB"/>
        </w:rPr>
        <w:t>th</w:t>
      </w:r>
      <w:r>
        <w:rPr>
          <w:rFonts w:cs="Times New Roman"/>
          <w:sz w:val="24"/>
          <w:szCs w:val="24"/>
          <w:lang w:val="en-GB"/>
        </w:rPr>
        <w:t xml:space="preserve"> parliamentary term in 2014.</w:t>
      </w:r>
      <w:r>
        <w:rPr>
          <w:rStyle w:val="Voetnootmarkering"/>
          <w:rFonts w:cs="Times New Roman"/>
          <w:sz w:val="24"/>
          <w:szCs w:val="24"/>
          <w:lang w:val="en-GB"/>
        </w:rPr>
        <w:footnoteReference w:id="33"/>
      </w:r>
      <w:r>
        <w:rPr>
          <w:rFonts w:cs="Times New Roman"/>
          <w:sz w:val="24"/>
          <w:szCs w:val="24"/>
          <w:lang w:val="en-GB"/>
        </w:rPr>
        <w:t xml:space="preserve"> However, becau</w:t>
      </w:r>
      <w:r>
        <w:rPr>
          <w:rFonts w:cs="Times New Roman"/>
          <w:sz w:val="24"/>
          <w:szCs w:val="24"/>
          <w:lang w:val="en-GB"/>
        </w:rPr>
        <w:t xml:space="preserve">se of Member States’ resistance in </w:t>
      </w:r>
      <w:r>
        <w:rPr>
          <w:rFonts w:cs="Times New Roman"/>
          <w:sz w:val="24"/>
          <w:szCs w:val="24"/>
          <w:lang w:val="en-GB"/>
        </w:rPr>
        <w:t xml:space="preserve">the </w:t>
      </w:r>
      <w:r>
        <w:rPr>
          <w:rFonts w:cs="Times New Roman"/>
          <w:sz w:val="24"/>
          <w:szCs w:val="24"/>
          <w:lang w:val="en-GB"/>
        </w:rPr>
        <w:t>Council, that proved</w:t>
      </w:r>
      <w:r>
        <w:rPr>
          <w:rFonts w:cs="Times New Roman"/>
          <w:sz w:val="24"/>
          <w:szCs w:val="24"/>
          <w:lang w:val="en-GB"/>
        </w:rPr>
        <w:t xml:space="preserve"> to be</w:t>
      </w:r>
      <w:r>
        <w:rPr>
          <w:rFonts w:cs="Times New Roman"/>
          <w:sz w:val="24"/>
          <w:szCs w:val="24"/>
          <w:lang w:val="en-GB"/>
        </w:rPr>
        <w:t xml:space="preserve"> more difficult than foreseen. The three proposals which the Commission made in 2013 to align the remaining legislative acts (roughly </w:t>
      </w:r>
      <w:r>
        <w:rPr>
          <w:rFonts w:cs="Times New Roman"/>
          <w:sz w:val="24"/>
          <w:szCs w:val="24"/>
          <w:lang w:val="en-GB"/>
        </w:rPr>
        <w:t>220) referring to the PRAC</w:t>
      </w:r>
      <w:r>
        <w:rPr>
          <w:rStyle w:val="Voetnootmarkering"/>
          <w:rFonts w:cs="Times New Roman"/>
          <w:sz w:val="24"/>
          <w:szCs w:val="24"/>
          <w:lang w:val="en-GB"/>
        </w:rPr>
        <w:footnoteReference w:id="34"/>
      </w:r>
      <w:r>
        <w:rPr>
          <w:rFonts w:cs="Times New Roman"/>
          <w:sz w:val="24"/>
          <w:szCs w:val="24"/>
          <w:lang w:val="en-GB"/>
        </w:rPr>
        <w:t xml:space="preserve"> remained in limbo in th</w:t>
      </w:r>
      <w:r>
        <w:rPr>
          <w:rFonts w:cs="Times New Roman"/>
          <w:sz w:val="24"/>
          <w:szCs w:val="24"/>
          <w:lang w:val="en-GB"/>
        </w:rPr>
        <w:t>e Council and, following the adoption of its 2015 work programme, the new Commission decided to withdraw these proposals, indicating that the issue would be addressed in the new inter-institutional agreement on Better Regulation.</w:t>
      </w:r>
      <w:r>
        <w:rPr>
          <w:rStyle w:val="Voetnootmarkering"/>
          <w:rFonts w:cs="Times New Roman"/>
          <w:sz w:val="24"/>
          <w:szCs w:val="24"/>
          <w:lang w:val="en-GB"/>
        </w:rPr>
        <w:footnoteReference w:id="35"/>
      </w:r>
      <w:r>
        <w:rPr>
          <w:rFonts w:cs="Times New Roman"/>
          <w:sz w:val="24"/>
          <w:szCs w:val="24"/>
          <w:lang w:val="en-GB"/>
        </w:rPr>
        <w:t xml:space="preserve"> That inter-institutional </w:t>
      </w:r>
      <w:r>
        <w:rPr>
          <w:rFonts w:cs="Times New Roman"/>
          <w:sz w:val="24"/>
          <w:szCs w:val="24"/>
          <w:lang w:val="en-GB"/>
        </w:rPr>
        <w:t>agreement of December 2015 provides that the Commission will propose a new alignment by the end of 2016.</w:t>
      </w:r>
      <w:r>
        <w:rPr>
          <w:rStyle w:val="Voetnootmarkering"/>
          <w:rFonts w:cs="Times New Roman"/>
          <w:sz w:val="24"/>
          <w:szCs w:val="24"/>
          <w:lang w:val="en-GB"/>
        </w:rPr>
        <w:footnoteReference w:id="36"/>
      </w:r>
      <w:r>
        <w:rPr>
          <w:rFonts w:cs="Times New Roman"/>
          <w:sz w:val="24"/>
          <w:szCs w:val="24"/>
          <w:lang w:val="en-GB"/>
        </w:rPr>
        <w:t xml:space="preserve"> In the meantime, the PRAC applies in diverse areas </w:t>
      </w:r>
      <w:r>
        <w:rPr>
          <w:rFonts w:cs="Times New Roman"/>
          <w:sz w:val="24"/>
          <w:szCs w:val="24"/>
          <w:lang w:val="en-GB"/>
        </w:rPr>
        <w:t xml:space="preserve">- </w:t>
      </w:r>
      <w:r>
        <w:rPr>
          <w:rFonts w:cs="Times New Roman"/>
          <w:sz w:val="24"/>
          <w:szCs w:val="24"/>
          <w:lang w:val="en-GB"/>
        </w:rPr>
        <w:t xml:space="preserve">some 165 PRAC measures were still adopted in 2014, mainly in the areas of ‘Health and </w:t>
      </w:r>
      <w:r>
        <w:rPr>
          <w:rFonts w:cs="Times New Roman"/>
          <w:sz w:val="24"/>
          <w:szCs w:val="24"/>
          <w:lang w:val="en-GB"/>
        </w:rPr>
        <w:t>Food Safety’, ‘Mobility and Transport’ and ‘Internal Market, Industry, Entrepreneurship and SMEs’.</w:t>
      </w:r>
      <w:r>
        <w:rPr>
          <w:rStyle w:val="Voetnootmarkering"/>
          <w:rFonts w:cs="Times New Roman"/>
          <w:sz w:val="24"/>
          <w:szCs w:val="24"/>
          <w:lang w:val="en-GB"/>
        </w:rPr>
        <w:footnoteReference w:id="37"/>
      </w:r>
      <w:r>
        <w:rPr>
          <w:rFonts w:cs="Times New Roman"/>
          <w:sz w:val="24"/>
          <w:szCs w:val="24"/>
          <w:lang w:val="en-GB"/>
        </w:rPr>
        <w:t xml:space="preserve"> </w:t>
      </w:r>
    </w:p>
    <w:p w14:paraId="193202F0" w14:textId="30F6572A" w:rsidR="005E3788" w:rsidRDefault="00B74D0E">
      <w:pPr>
        <w:spacing w:line="360" w:lineRule="auto"/>
        <w:rPr>
          <w:rFonts w:cs="Times New Roman"/>
          <w:sz w:val="24"/>
          <w:szCs w:val="24"/>
          <w:lang w:val="en-GB"/>
        </w:rPr>
      </w:pPr>
      <w:r>
        <w:rPr>
          <w:rFonts w:cs="Times New Roman"/>
          <w:sz w:val="24"/>
          <w:szCs w:val="24"/>
          <w:lang w:val="en-GB"/>
        </w:rPr>
        <w:t>The refusal to align the pre-Lisbon legislation to Articles 290 and 291 TFEU stands in stark contrast with the institutions’ commitment to ‘Better regulati</w:t>
      </w:r>
      <w:r>
        <w:rPr>
          <w:rFonts w:cs="Times New Roman"/>
          <w:sz w:val="24"/>
          <w:szCs w:val="24"/>
          <w:lang w:val="en-GB"/>
        </w:rPr>
        <w:t>on’ and it remains to be seen whether any alignment through a(n) (set of) omnibus act(s) will ever be achieved. After all, it should be stressed again that the power which the Member States in Council wield pursuant to the PRAC far surpasses their power wh</w:t>
      </w:r>
      <w:r>
        <w:rPr>
          <w:rFonts w:cs="Times New Roman"/>
          <w:sz w:val="24"/>
          <w:szCs w:val="24"/>
          <w:lang w:val="en-GB"/>
        </w:rPr>
        <w:t>en delegated acts (or implementing acts) are adopted.</w:t>
      </w:r>
      <w:bookmarkStart w:id="3" w:name="_Ref445544838"/>
      <w:r>
        <w:rPr>
          <w:rStyle w:val="Voetnootmarkering"/>
          <w:rFonts w:cs="Times New Roman"/>
          <w:sz w:val="24"/>
          <w:szCs w:val="24"/>
          <w:lang w:val="en-GB"/>
        </w:rPr>
        <w:footnoteReference w:id="38"/>
      </w:r>
      <w:bookmarkEnd w:id="3"/>
      <w:r>
        <w:rPr>
          <w:rFonts w:cs="Times New Roman"/>
          <w:sz w:val="24"/>
          <w:szCs w:val="24"/>
          <w:lang w:val="en-GB"/>
        </w:rPr>
        <w:t xml:space="preserve"> While a comprehensive comparison between the PRAC and the procedures under Article 290 and 291 TFEU cannot be elaborated here,</w:t>
      </w:r>
      <w:r>
        <w:rPr>
          <w:rStyle w:val="Voetnootmarkering"/>
          <w:rFonts w:cs="Times New Roman"/>
          <w:sz w:val="24"/>
          <w:szCs w:val="24"/>
          <w:lang w:val="en-GB"/>
        </w:rPr>
        <w:footnoteReference w:id="39"/>
      </w:r>
      <w:r>
        <w:rPr>
          <w:rFonts w:cs="Times New Roman"/>
          <w:sz w:val="24"/>
          <w:szCs w:val="24"/>
          <w:lang w:val="en-GB"/>
        </w:rPr>
        <w:t xml:space="preserve"> it suffices to note that under the PRAC there is a mandatory involvement </w:t>
      </w:r>
      <w:r>
        <w:rPr>
          <w:rFonts w:cs="Times New Roman"/>
          <w:sz w:val="24"/>
          <w:szCs w:val="24"/>
          <w:lang w:val="en-GB"/>
        </w:rPr>
        <w:t>of Member State experts before an act is adopted (unlike for the delegated act)</w:t>
      </w:r>
      <w:r w:rsidR="00297C74">
        <w:rPr>
          <w:rStyle w:val="Voetnootmarkering"/>
          <w:rFonts w:cs="Times New Roman"/>
          <w:sz w:val="24"/>
          <w:szCs w:val="24"/>
          <w:lang w:val="en-GB"/>
        </w:rPr>
        <w:footnoteReference w:id="40"/>
      </w:r>
      <w:r>
        <w:rPr>
          <w:rFonts w:cs="Times New Roman"/>
          <w:sz w:val="24"/>
          <w:szCs w:val="24"/>
          <w:lang w:val="en-GB"/>
        </w:rPr>
        <w:t xml:space="preserve"> and these experts’ opinions constrain the Commission much more than the opinions adopted pursuant to the comitology procedures under the present comitology regulation. In addit</w:t>
      </w:r>
      <w:r>
        <w:rPr>
          <w:rFonts w:cs="Times New Roman"/>
          <w:sz w:val="24"/>
          <w:szCs w:val="24"/>
          <w:lang w:val="en-GB"/>
        </w:rPr>
        <w:t xml:space="preserve">ion, depending on the opinion of the committee, the PRAC allows the Commission to be divested of the power to adopt an act, which instead may </w:t>
      </w:r>
      <w:r>
        <w:rPr>
          <w:rFonts w:cs="Times New Roman"/>
          <w:sz w:val="24"/>
          <w:szCs w:val="24"/>
          <w:lang w:val="en-GB"/>
        </w:rPr>
        <w:t>be adopted by the Council. Again this is different under Articles 290 and 291 TFEU whereby delegated acts are</w:t>
      </w:r>
      <w:r>
        <w:rPr>
          <w:rFonts w:cs="Times New Roman"/>
          <w:sz w:val="24"/>
          <w:szCs w:val="24"/>
          <w:lang w:val="en-GB"/>
        </w:rPr>
        <w:t xml:space="preserve"> always adopted by the Commission and the comitology procedures only foresee the Commission as the authority adopting implementing acts.</w:t>
      </w:r>
      <w:r>
        <w:rPr>
          <w:rStyle w:val="Voetnootmarkering"/>
          <w:rFonts w:cs="Times New Roman"/>
          <w:sz w:val="24"/>
          <w:szCs w:val="24"/>
          <w:lang w:val="en-GB"/>
        </w:rPr>
        <w:footnoteReference w:id="41"/>
      </w:r>
    </w:p>
    <w:p w14:paraId="2EA76424" w14:textId="757AAA97" w:rsidR="005E3788" w:rsidRDefault="00B74D0E">
      <w:pPr>
        <w:spacing w:line="360" w:lineRule="auto"/>
        <w:rPr>
          <w:rFonts w:cs="Times New Roman"/>
          <w:sz w:val="24"/>
          <w:szCs w:val="24"/>
          <w:lang w:val="en-GB"/>
        </w:rPr>
      </w:pPr>
      <w:r>
        <w:rPr>
          <w:rFonts w:cs="Times New Roman"/>
          <w:sz w:val="24"/>
          <w:szCs w:val="24"/>
          <w:lang w:val="en-GB"/>
        </w:rPr>
        <w:t>In practice, a certain discrepancy may be noted between the importance attached by the Member States to their involvem</w:t>
      </w:r>
      <w:r>
        <w:rPr>
          <w:rFonts w:cs="Times New Roman"/>
          <w:sz w:val="24"/>
          <w:szCs w:val="24"/>
          <w:lang w:val="en-GB"/>
        </w:rPr>
        <w:t>ent through the PRAC and the odd instances in which they actually succeed in making use of their powers. Between 2010 and 2014 some 830 measures have been adopted pursuant to the PRAC.</w:t>
      </w:r>
      <w:r>
        <w:rPr>
          <w:rStyle w:val="Voetnootmarkering"/>
          <w:rFonts w:cs="Times New Roman"/>
          <w:sz w:val="24"/>
          <w:szCs w:val="24"/>
          <w:lang w:val="en-GB"/>
        </w:rPr>
        <w:footnoteReference w:id="42"/>
      </w:r>
      <w:r>
        <w:rPr>
          <w:rFonts w:cs="Times New Roman"/>
          <w:sz w:val="24"/>
          <w:szCs w:val="24"/>
          <w:lang w:val="en-GB"/>
        </w:rPr>
        <w:t xml:space="preserve"> By contrast, only five measures were vetoed by the Council (under the </w:t>
      </w:r>
      <w:r>
        <w:rPr>
          <w:rFonts w:cs="Times New Roman"/>
          <w:sz w:val="24"/>
          <w:szCs w:val="24"/>
          <w:lang w:val="en-GB"/>
        </w:rPr>
        <w:t>PRAC) during that period.</w:t>
      </w:r>
      <w:r>
        <w:rPr>
          <w:rStyle w:val="Voetnootmarkering"/>
          <w:rFonts w:cs="Times New Roman"/>
          <w:sz w:val="24"/>
          <w:szCs w:val="24"/>
          <w:lang w:val="en-GB"/>
        </w:rPr>
        <w:footnoteReference w:id="43"/>
      </w:r>
      <w:r>
        <w:rPr>
          <w:rFonts w:cs="Times New Roman"/>
          <w:sz w:val="24"/>
          <w:szCs w:val="24"/>
          <w:lang w:val="en-GB"/>
        </w:rPr>
        <w:t xml:space="preserve"> In addition, in those cases where the Commission submitted a proposal to the Council as a result of there being no (or a negative) opinion of the Committee, the Council rarely achieves the necessary qualified majority to adopt th</w:t>
      </w:r>
      <w:r>
        <w:rPr>
          <w:rFonts w:cs="Times New Roman"/>
          <w:sz w:val="24"/>
          <w:szCs w:val="24"/>
          <w:lang w:val="en-GB"/>
        </w:rPr>
        <w:t>e executive measure itself.</w:t>
      </w:r>
      <w:r>
        <w:rPr>
          <w:rStyle w:val="Voetnootmarkering"/>
          <w:rFonts w:cs="Times New Roman"/>
          <w:sz w:val="24"/>
          <w:szCs w:val="24"/>
          <w:lang w:val="en-GB"/>
        </w:rPr>
        <w:footnoteReference w:id="44"/>
      </w:r>
      <w:r>
        <w:rPr>
          <w:rFonts w:cs="Times New Roman"/>
          <w:sz w:val="24"/>
          <w:szCs w:val="24"/>
          <w:lang w:val="en-GB"/>
        </w:rPr>
        <w:t xml:space="preserve"> Most of the time</w:t>
      </w:r>
      <w:r>
        <w:rPr>
          <w:rFonts w:cs="Times New Roman"/>
          <w:sz w:val="24"/>
          <w:szCs w:val="24"/>
          <w:lang w:val="en-GB"/>
        </w:rPr>
        <w:t xml:space="preserve"> the Council cannot find a qualified majority for or against the measure and the Commission is left to adopt it,</w:t>
      </w:r>
      <w:r>
        <w:rPr>
          <w:rStyle w:val="Voetnootmarkering"/>
          <w:rFonts w:cs="Times New Roman"/>
          <w:sz w:val="24"/>
          <w:szCs w:val="24"/>
          <w:lang w:val="en-GB"/>
        </w:rPr>
        <w:footnoteReference w:id="45"/>
      </w:r>
      <w:r>
        <w:rPr>
          <w:rFonts w:cs="Times New Roman"/>
          <w:sz w:val="24"/>
          <w:szCs w:val="24"/>
          <w:lang w:val="en-GB"/>
        </w:rPr>
        <w:t xml:space="preserve"> including in sensitive cases such as for instance the use of lactic acid in beef meat processing</w:t>
      </w:r>
      <w:r>
        <w:rPr>
          <w:rFonts w:cs="Times New Roman"/>
          <w:sz w:val="24"/>
          <w:szCs w:val="24"/>
          <w:lang w:val="en-GB"/>
        </w:rPr>
        <w:t xml:space="preserve"> (a practice similar to that of chlorine chickens).</w:t>
      </w:r>
      <w:r>
        <w:rPr>
          <w:rStyle w:val="Voetnootmarkering"/>
          <w:rFonts w:cs="Times New Roman"/>
          <w:sz w:val="24"/>
          <w:szCs w:val="24"/>
          <w:lang w:val="en-GB"/>
        </w:rPr>
        <w:footnoteReference w:id="46"/>
      </w:r>
    </w:p>
    <w:p w14:paraId="66B98055" w14:textId="77777777" w:rsidR="005E3788" w:rsidRDefault="00B74D0E">
      <w:pPr>
        <w:spacing w:line="360" w:lineRule="auto"/>
        <w:rPr>
          <w:rFonts w:cs="Times New Roman"/>
          <w:sz w:val="24"/>
          <w:szCs w:val="24"/>
          <w:lang w:val="en-GB"/>
        </w:rPr>
      </w:pPr>
      <w:r>
        <w:rPr>
          <w:rFonts w:cs="Times New Roman"/>
          <w:sz w:val="24"/>
          <w:szCs w:val="24"/>
          <w:lang w:val="en-GB"/>
        </w:rPr>
        <w:t xml:space="preserve">As noted above, the Commission will present a new proposal for an alignment of the PRAC to the Lisbon Treaty at the end of 2016. It remains to be seen whether the Commission will be able to overcome the </w:t>
      </w:r>
      <w:r>
        <w:rPr>
          <w:rFonts w:cs="Times New Roman"/>
          <w:sz w:val="24"/>
          <w:szCs w:val="24"/>
          <w:lang w:val="en-GB"/>
        </w:rPr>
        <w:t>Member States’ apparent mistrust in it. If not, the PRAC will die a very slow death, only disappearing when each of the legislative acts involved is individually recast or repealed in the ‘ordinary’ process of the periodical updating of the EU’s acquis.</w:t>
      </w:r>
    </w:p>
    <w:p w14:paraId="757D331D" w14:textId="77777777" w:rsidR="005E3788" w:rsidRDefault="005E3788">
      <w:pPr>
        <w:spacing w:line="360" w:lineRule="auto"/>
        <w:rPr>
          <w:rFonts w:cs="Times New Roman"/>
          <w:sz w:val="24"/>
          <w:szCs w:val="24"/>
          <w:lang w:val="en-GB"/>
        </w:rPr>
      </w:pPr>
    </w:p>
    <w:p w14:paraId="5F1ED180" w14:textId="7DEF55DE" w:rsidR="005E3788" w:rsidRDefault="00B74D0E">
      <w:pPr>
        <w:spacing w:line="360" w:lineRule="auto"/>
        <w:rPr>
          <w:rFonts w:cs="Times New Roman"/>
          <w:b/>
          <w:sz w:val="24"/>
          <w:szCs w:val="24"/>
          <w:lang w:val="en-GB"/>
        </w:rPr>
      </w:pPr>
      <w:r>
        <w:rPr>
          <w:rFonts w:cs="Times New Roman"/>
          <w:b/>
          <w:sz w:val="24"/>
          <w:szCs w:val="24"/>
          <w:lang w:val="en-GB"/>
        </w:rPr>
        <w:t>§</w:t>
      </w:r>
      <w:r>
        <w:rPr>
          <w:rFonts w:cs="Times New Roman"/>
          <w:b/>
          <w:sz w:val="24"/>
          <w:szCs w:val="24"/>
          <w:lang w:val="en-GB"/>
        </w:rPr>
        <w:t>6 CONCLUSION</w:t>
      </w:r>
    </w:p>
    <w:p w14:paraId="3C57FFFB" w14:textId="55B679D7" w:rsidR="005E3788" w:rsidRDefault="00B74D0E">
      <w:pPr>
        <w:spacing w:line="360" w:lineRule="auto"/>
        <w:rPr>
          <w:rFonts w:cs="Times New Roman"/>
          <w:sz w:val="24"/>
          <w:szCs w:val="24"/>
          <w:lang w:val="en-GB"/>
        </w:rPr>
      </w:pPr>
      <w:r>
        <w:rPr>
          <w:rFonts w:cs="Times New Roman"/>
          <w:sz w:val="24"/>
          <w:szCs w:val="24"/>
          <w:lang w:val="en-GB"/>
        </w:rPr>
        <w:t xml:space="preserve">Had the implementation of the reform through the Lisbon Treaty stayed on course, the PRAC would not have been a subject of debate </w:t>
      </w:r>
      <w:r>
        <w:rPr>
          <w:rFonts w:cs="Times New Roman"/>
          <w:sz w:val="24"/>
          <w:szCs w:val="24"/>
          <w:lang w:val="en-GB"/>
        </w:rPr>
        <w:t>in 2016, save for historic treatises on comitology. As with other issues coming under Articles 290 and 2</w:t>
      </w:r>
      <w:r>
        <w:rPr>
          <w:rFonts w:cs="Times New Roman"/>
          <w:sz w:val="24"/>
          <w:szCs w:val="24"/>
          <w:lang w:val="en-GB"/>
        </w:rPr>
        <w:t xml:space="preserve">91 however, the reform </w:t>
      </w:r>
      <w:r>
        <w:rPr>
          <w:rFonts w:cs="Times New Roman"/>
          <w:sz w:val="24"/>
          <w:szCs w:val="24"/>
          <w:lang w:val="en-GB"/>
        </w:rPr>
        <w:t xml:space="preserve">of </w:t>
      </w:r>
      <w:r>
        <w:rPr>
          <w:rFonts w:cs="Times New Roman"/>
          <w:sz w:val="24"/>
          <w:szCs w:val="24"/>
          <w:lang w:val="en-GB"/>
        </w:rPr>
        <w:t xml:space="preserve">the Lisbon Treaty is much less real than hoped and the pre-Lisbon regulatory comitology procedure with scrutiny seems much more tenacious than imagined. </w:t>
      </w:r>
    </w:p>
    <w:p w14:paraId="170409EA" w14:textId="278AD5EE" w:rsidR="005E3788" w:rsidRDefault="00B74D0E">
      <w:pPr>
        <w:spacing w:line="360" w:lineRule="auto"/>
        <w:rPr>
          <w:rFonts w:cs="Times New Roman"/>
          <w:sz w:val="24"/>
          <w:szCs w:val="24"/>
          <w:lang w:val="en-GB"/>
        </w:rPr>
      </w:pPr>
      <w:r>
        <w:rPr>
          <w:rFonts w:cs="Times New Roman"/>
          <w:sz w:val="24"/>
          <w:szCs w:val="24"/>
          <w:lang w:val="en-GB"/>
        </w:rPr>
        <w:t xml:space="preserve">This means that the Courts are confronted with problems which in reality </w:t>
      </w:r>
      <w:r>
        <w:rPr>
          <w:rFonts w:cs="Times New Roman"/>
          <w:sz w:val="24"/>
          <w:szCs w:val="24"/>
          <w:lang w:val="en-GB"/>
        </w:rPr>
        <w:t xml:space="preserve">should not have posed themselves, had the institutions conscientiously implemented the Lisbon Treaty’s new framework of implementing and delegated acts. That said, the General Court’s decision in </w:t>
      </w:r>
      <w:r>
        <w:rPr>
          <w:rFonts w:cs="Times New Roman"/>
          <w:i/>
          <w:sz w:val="24"/>
          <w:szCs w:val="24"/>
          <w:lang w:val="en-GB"/>
        </w:rPr>
        <w:t>Netherlands v. Commission</w:t>
      </w:r>
      <w:r>
        <w:rPr>
          <w:rFonts w:cs="Times New Roman"/>
          <w:sz w:val="24"/>
          <w:szCs w:val="24"/>
          <w:lang w:val="en-GB"/>
        </w:rPr>
        <w:t xml:space="preserve"> should be critici</w:t>
      </w:r>
      <w:r>
        <w:rPr>
          <w:rFonts w:cs="Times New Roman"/>
          <w:sz w:val="24"/>
          <w:szCs w:val="24"/>
          <w:lang w:val="en-GB"/>
        </w:rPr>
        <w:t>z</w:t>
      </w:r>
      <w:r>
        <w:rPr>
          <w:rFonts w:cs="Times New Roman"/>
          <w:sz w:val="24"/>
          <w:szCs w:val="24"/>
          <w:lang w:val="en-GB"/>
        </w:rPr>
        <w:t xml:space="preserve">ed as well. At </w:t>
      </w:r>
      <w:r>
        <w:rPr>
          <w:rFonts w:cs="Times New Roman"/>
          <w:sz w:val="24"/>
          <w:szCs w:val="24"/>
          <w:lang w:val="en-GB"/>
        </w:rPr>
        <w:t xml:space="preserve">first sight, the General Court seems motivated by a concern to uphold Article 291 TFEU but in reality its solution of the case is legally flawed and undermines the Lisbon Treaty’s reform </w:t>
      </w:r>
      <w:r>
        <w:rPr>
          <w:rFonts w:cs="Times New Roman"/>
          <w:sz w:val="24"/>
          <w:szCs w:val="24"/>
          <w:lang w:val="en-GB"/>
        </w:rPr>
        <w:t xml:space="preserve">as </w:t>
      </w:r>
      <w:r>
        <w:rPr>
          <w:rFonts w:cs="Times New Roman"/>
          <w:sz w:val="24"/>
          <w:szCs w:val="24"/>
          <w:lang w:val="en-GB"/>
        </w:rPr>
        <w:t xml:space="preserve">six years </w:t>
      </w:r>
      <w:r>
        <w:rPr>
          <w:rFonts w:cs="Times New Roman"/>
          <w:sz w:val="24"/>
          <w:szCs w:val="24"/>
          <w:lang w:val="en-GB"/>
        </w:rPr>
        <w:t xml:space="preserve">after </w:t>
      </w:r>
      <w:r>
        <w:rPr>
          <w:rFonts w:cs="Times New Roman"/>
          <w:sz w:val="24"/>
          <w:szCs w:val="24"/>
          <w:lang w:val="en-GB"/>
        </w:rPr>
        <w:t xml:space="preserve">the Treaty’s entry into force new </w:t>
      </w:r>
      <w:r>
        <w:rPr>
          <w:rFonts w:cs="Times New Roman"/>
          <w:sz w:val="24"/>
          <w:szCs w:val="24"/>
          <w:lang w:val="en-GB"/>
        </w:rPr>
        <w:t>(non-legislative) acts are still created which prescribe the use of the PRAC to adopt further measures.</w:t>
      </w:r>
    </w:p>
    <w:p w14:paraId="10FD25A9" w14:textId="143DE3CE" w:rsidR="005E3788" w:rsidRDefault="00B74D0E">
      <w:pPr>
        <w:spacing w:line="360" w:lineRule="auto"/>
        <w:rPr>
          <w:rFonts w:cs="Times New Roman"/>
          <w:sz w:val="24"/>
          <w:szCs w:val="24"/>
          <w:lang w:val="en-GB"/>
        </w:rPr>
      </w:pPr>
      <w:r>
        <w:rPr>
          <w:rFonts w:cs="Times New Roman"/>
          <w:sz w:val="24"/>
          <w:szCs w:val="24"/>
          <w:lang w:val="en-GB"/>
        </w:rPr>
        <w:t>The General Court was right to rely on Article 291 TFEU but it should t</w:t>
      </w:r>
      <w:r>
        <w:rPr>
          <w:rFonts w:cs="Times New Roman"/>
          <w:sz w:val="24"/>
          <w:szCs w:val="24"/>
          <w:lang w:val="en-GB"/>
        </w:rPr>
        <w:t>hen</w:t>
      </w:r>
      <w:r>
        <w:rPr>
          <w:rFonts w:cs="Times New Roman"/>
          <w:sz w:val="24"/>
          <w:szCs w:val="24"/>
          <w:lang w:val="en-GB"/>
        </w:rPr>
        <w:t xml:space="preserve"> also have acknowledged that the PRAC’s function is fundamentally differ</w:t>
      </w:r>
      <w:r>
        <w:rPr>
          <w:rFonts w:cs="Times New Roman"/>
          <w:sz w:val="24"/>
          <w:szCs w:val="24"/>
          <w:lang w:val="en-GB"/>
        </w:rPr>
        <w:t>ent from that of Article 291 TFEU. This would have led the Court to the conclusion that, since Article 291 TFEU applied, one of the procedures in the Comitology regulation should have been prescribed. This way the Lisbon Treaty’s reform would have been gen</w:t>
      </w:r>
      <w:r>
        <w:rPr>
          <w:rFonts w:cs="Times New Roman"/>
          <w:sz w:val="24"/>
          <w:szCs w:val="24"/>
          <w:lang w:val="en-GB"/>
        </w:rPr>
        <w:t>uinely upheld.</w:t>
      </w:r>
    </w:p>
    <w:p w14:paraId="5A9A7B17" w14:textId="77777777" w:rsidR="005E3788" w:rsidRDefault="005E3788">
      <w:pPr>
        <w:spacing w:line="360" w:lineRule="auto"/>
        <w:rPr>
          <w:rFonts w:cs="Times New Roman"/>
          <w:sz w:val="24"/>
          <w:szCs w:val="24"/>
          <w:lang w:val="en-GB"/>
        </w:rPr>
      </w:pPr>
    </w:p>
    <w:p w14:paraId="7371121F" w14:textId="77777777" w:rsidR="005E3788" w:rsidRDefault="005E3788">
      <w:pPr>
        <w:spacing w:line="360" w:lineRule="auto"/>
        <w:rPr>
          <w:rFonts w:cs="Times New Roman"/>
          <w:sz w:val="24"/>
          <w:szCs w:val="24"/>
          <w:lang w:val="en-US"/>
        </w:rPr>
      </w:pPr>
    </w:p>
    <w:sectPr w:rsidR="005E37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F792C" w14:textId="77777777" w:rsidR="005E3788" w:rsidRDefault="00B74D0E">
      <w:pPr>
        <w:spacing w:after="0" w:line="240" w:lineRule="auto"/>
      </w:pPr>
      <w:r>
        <w:separator/>
      </w:r>
    </w:p>
  </w:endnote>
  <w:endnote w:type="continuationSeparator" w:id="0">
    <w:p w14:paraId="564C38F3" w14:textId="77777777" w:rsidR="005E3788" w:rsidRDefault="00B7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F07D" w14:textId="77777777" w:rsidR="005E3788" w:rsidRDefault="005E37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855370"/>
      <w:docPartObj>
        <w:docPartGallery w:val="Page Numbers (Bottom of Page)"/>
        <w:docPartUnique/>
      </w:docPartObj>
    </w:sdtPr>
    <w:sdtEndPr/>
    <w:sdtContent>
      <w:p w14:paraId="3268A719" w14:textId="77777777" w:rsidR="005E3788" w:rsidRDefault="00B74D0E">
        <w:pPr>
          <w:pStyle w:val="Voettekst"/>
          <w:jc w:val="center"/>
        </w:pPr>
        <w:r>
          <w:fldChar w:fldCharType="begin"/>
        </w:r>
        <w:r>
          <w:instrText>PAGE   \* MERGEFORMAT</w:instrText>
        </w:r>
        <w:r>
          <w:fldChar w:fldCharType="separate"/>
        </w:r>
        <w:r w:rsidRPr="00B74D0E">
          <w:rPr>
            <w:noProof/>
            <w:lang w:val="nl-NL"/>
          </w:rPr>
          <w:t>1</w:t>
        </w:r>
        <w:r>
          <w:fldChar w:fldCharType="end"/>
        </w:r>
      </w:p>
    </w:sdtContent>
  </w:sdt>
  <w:p w14:paraId="73DF3B27" w14:textId="77777777" w:rsidR="005E3788" w:rsidRDefault="005E378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B217" w14:textId="77777777" w:rsidR="005E3788" w:rsidRDefault="005E37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E7C53" w14:textId="77777777" w:rsidR="005E3788" w:rsidRDefault="00B74D0E">
      <w:pPr>
        <w:spacing w:after="0" w:line="240" w:lineRule="auto"/>
      </w:pPr>
      <w:r>
        <w:separator/>
      </w:r>
    </w:p>
  </w:footnote>
  <w:footnote w:type="continuationSeparator" w:id="0">
    <w:p w14:paraId="62A118FC" w14:textId="77777777" w:rsidR="005E3788" w:rsidRDefault="00B74D0E">
      <w:pPr>
        <w:spacing w:after="0" w:line="240" w:lineRule="auto"/>
      </w:pPr>
      <w:r>
        <w:continuationSeparator/>
      </w:r>
    </w:p>
  </w:footnote>
  <w:footnote w:id="1">
    <w:p w14:paraId="7D72CEAA" w14:textId="25590F3C" w:rsidR="005E3788" w:rsidRPr="00B74D0E" w:rsidRDefault="00B74D0E">
      <w:pPr>
        <w:pStyle w:val="Voetnoottekst"/>
        <w:rPr>
          <w:lang w:val="en-GB"/>
        </w:rPr>
      </w:pPr>
      <w:r>
        <w:rPr>
          <w:rStyle w:val="Voetnootmarkering"/>
        </w:rPr>
        <w:sym w:font="Symbol" w:char="F02A"/>
      </w:r>
      <w:r w:rsidRPr="00B74D0E">
        <w:rPr>
          <w:lang w:val="en-US"/>
        </w:rPr>
        <w:t xml:space="preserve"> </w:t>
      </w:r>
      <w:r w:rsidR="00547C25">
        <w:rPr>
          <w:lang w:val="en-GB"/>
        </w:rPr>
        <w:t>Post-doctoral assistant at the Ghent European Law Institute, Department of European, Public and International Law, University of Ghent (Jean Monnet Centre of Excellence)</w:t>
      </w:r>
      <w:r>
        <w:rPr>
          <w:lang w:val="en-GB"/>
        </w:rPr>
        <w:t>.</w:t>
      </w:r>
    </w:p>
  </w:footnote>
  <w:footnote w:id="2">
    <w:p w14:paraId="386F55A8" w14:textId="53C9BD34" w:rsidR="005E3788" w:rsidRDefault="00B74D0E">
      <w:pPr>
        <w:pStyle w:val="Voetnoottekst"/>
        <w:rPr>
          <w:rFonts w:cs="Times New Roman"/>
          <w:lang w:val="en-US"/>
        </w:rPr>
      </w:pPr>
      <w:r>
        <w:rPr>
          <w:rStyle w:val="Voetnootmarkering"/>
          <w:rFonts w:cs="Times New Roman"/>
        </w:rPr>
        <w:footnoteRef/>
      </w:r>
      <w:r>
        <w:rPr>
          <w:rFonts w:cs="Times New Roman"/>
          <w:lang w:val="en-US"/>
        </w:rPr>
        <w:t xml:space="preserve"> </w:t>
      </w:r>
      <w:r w:rsidRPr="00B74D0E">
        <w:rPr>
          <w:lang w:val="en-GB"/>
        </w:rPr>
        <w:t>P</w:t>
      </w:r>
      <w:r w:rsidRPr="00B74D0E">
        <w:rPr>
          <w:lang w:val="en-GB"/>
        </w:rPr>
        <w:t>.</w:t>
      </w:r>
      <w:r w:rsidRPr="00B74D0E">
        <w:rPr>
          <w:lang w:val="en-GB"/>
        </w:rPr>
        <w:t xml:space="preserve"> Craig</w:t>
      </w:r>
      <w:r>
        <w:rPr>
          <w:rFonts w:cs="Times New Roman"/>
          <w:noProof/>
          <w:lang w:val="en-US"/>
        </w:rPr>
        <w:t xml:space="preserve">, </w:t>
      </w:r>
      <w:r>
        <w:rPr>
          <w:rFonts w:cs="Times New Roman"/>
          <w:noProof/>
          <w:lang w:val="en-US"/>
        </w:rPr>
        <w:t>‘</w:t>
      </w:r>
      <w:r>
        <w:rPr>
          <w:rFonts w:cs="Times New Roman"/>
          <w:noProof/>
          <w:lang w:val="en-US"/>
        </w:rPr>
        <w:t>Delegated Acts, Implementing Acts and the New Comitology Regulation</w:t>
      </w:r>
      <w:r>
        <w:rPr>
          <w:rFonts w:cs="Times New Roman"/>
          <w:lang w:val="en-GB"/>
        </w:rPr>
        <w:t>’</w:t>
      </w:r>
      <w:r>
        <w:rPr>
          <w:rFonts w:cs="Times New Roman"/>
          <w:noProof/>
          <w:lang w:val="en-US"/>
        </w:rPr>
        <w:t xml:space="preserve">, </w:t>
      </w:r>
      <w:r>
        <w:rPr>
          <w:rFonts w:cs="Times New Roman"/>
          <w:noProof/>
          <w:lang w:val="en-US"/>
        </w:rPr>
        <w:t xml:space="preserve">36 </w:t>
      </w:r>
      <w:r>
        <w:rPr>
          <w:rFonts w:cs="Times New Roman"/>
          <w:i/>
          <w:noProof/>
          <w:lang w:val="en-US"/>
        </w:rPr>
        <w:t>European Law Review</w:t>
      </w:r>
      <w:r>
        <w:rPr>
          <w:rFonts w:cs="Times New Roman"/>
          <w:noProof/>
          <w:lang w:val="en-US"/>
        </w:rPr>
        <w:t xml:space="preserve"> </w:t>
      </w:r>
      <w:r>
        <w:rPr>
          <w:rFonts w:cs="Times New Roman"/>
          <w:noProof/>
          <w:lang w:val="en-US"/>
        </w:rPr>
        <w:t>(2011)</w:t>
      </w:r>
      <w:r>
        <w:rPr>
          <w:rFonts w:cs="Times New Roman"/>
          <w:noProof/>
          <w:lang w:val="en-US"/>
        </w:rPr>
        <w:t xml:space="preserve">, </w:t>
      </w:r>
      <w:r>
        <w:rPr>
          <w:rFonts w:cs="Times New Roman"/>
          <w:noProof/>
          <w:lang w:val="en-US"/>
        </w:rPr>
        <w:t>p. 675-677.</w:t>
      </w:r>
      <w:r>
        <w:rPr>
          <w:rFonts w:cs="Times New Roman"/>
          <w:lang w:val="en-US"/>
        </w:rPr>
        <w:t xml:space="preserve"> In relation to this issue</w:t>
      </w:r>
      <w:r>
        <w:rPr>
          <w:rFonts w:cs="Times New Roman"/>
          <w:lang w:val="en-US"/>
        </w:rPr>
        <w:t>,</w:t>
      </w:r>
      <w:r>
        <w:rPr>
          <w:rFonts w:cs="Times New Roman"/>
          <w:lang w:val="en-US"/>
        </w:rPr>
        <w:t xml:space="preserve"> however, Craig </w:t>
      </w:r>
      <w:r>
        <w:rPr>
          <w:rFonts w:cs="Times New Roman"/>
          <w:lang w:val="en-US"/>
        </w:rPr>
        <w:t xml:space="preserve">stressed that the scope of Article 290 TFEU encompassed, but was also broader than that of the PRAC (see </w:t>
      </w:r>
      <w:r>
        <w:rPr>
          <w:rFonts w:cs="Times New Roman"/>
          <w:lang w:val="en-US"/>
        </w:rPr>
        <w:t xml:space="preserve">footnote </w:t>
      </w:r>
      <w:r>
        <w:rPr>
          <w:rFonts w:cs="Times New Roman"/>
          <w:lang w:val="en-US"/>
        </w:rPr>
        <w:fldChar w:fldCharType="begin"/>
      </w:r>
      <w:r>
        <w:rPr>
          <w:rFonts w:cs="Times New Roman"/>
          <w:lang w:val="en-US"/>
        </w:rPr>
        <w:instrText xml:space="preserve"> NOTEREF _Ref445544838 \h  \* MER</w:instrText>
      </w:r>
      <w:r>
        <w:rPr>
          <w:rFonts w:cs="Times New Roman"/>
          <w:lang w:val="en-US"/>
        </w:rPr>
        <w:instrText xml:space="preserve">GEFORMAT </w:instrText>
      </w:r>
      <w:r>
        <w:rPr>
          <w:rFonts w:cs="Times New Roman"/>
          <w:lang w:val="en-US"/>
        </w:rPr>
      </w:r>
      <w:r>
        <w:rPr>
          <w:rFonts w:cs="Times New Roman"/>
          <w:lang w:val="en-US"/>
        </w:rPr>
        <w:fldChar w:fldCharType="separate"/>
      </w:r>
      <w:r w:rsidR="00F70358">
        <w:rPr>
          <w:rFonts w:cs="Times New Roman"/>
          <w:lang w:val="en-US"/>
        </w:rPr>
        <w:t>37</w:t>
      </w:r>
      <w:r>
        <w:rPr>
          <w:rFonts w:cs="Times New Roman"/>
          <w:lang w:val="en-US"/>
        </w:rPr>
        <w:fldChar w:fldCharType="end"/>
      </w:r>
      <w:r>
        <w:rPr>
          <w:rFonts w:cs="Times New Roman"/>
          <w:lang w:val="en-US"/>
        </w:rPr>
        <w:t xml:space="preserve"> below</w:t>
      </w:r>
      <w:r>
        <w:rPr>
          <w:rFonts w:cs="Times New Roman"/>
          <w:lang w:val="en-US"/>
        </w:rPr>
        <w:t xml:space="preserve">). However, the case presently discussed suggests that the scope of the PRAC would not be restricted to Article 290 TFEU either, the latter not completely encompassing the </w:t>
      </w:r>
      <w:r>
        <w:rPr>
          <w:rFonts w:cs="Times New Roman"/>
          <w:lang w:val="en-US"/>
        </w:rPr>
        <w:t>PRAC.</w:t>
      </w:r>
    </w:p>
  </w:footnote>
  <w:footnote w:id="3">
    <w:p w14:paraId="2235D84A" w14:textId="5A0A3B02"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For an earlier discussion of this topic in this Journal, </w:t>
      </w:r>
      <w:r w:rsidRPr="00547C25">
        <w:rPr>
          <w:lang w:val="en-GB"/>
        </w:rPr>
        <w:t xml:space="preserve">see </w:t>
      </w:r>
      <w:r w:rsidRPr="00B74D0E">
        <w:rPr>
          <w:lang w:val="en-GB"/>
        </w:rPr>
        <w:t>Z</w:t>
      </w:r>
      <w:r w:rsidRPr="00B74D0E">
        <w:rPr>
          <w:lang w:val="en-GB"/>
        </w:rPr>
        <w:t>.</w:t>
      </w:r>
      <w:r w:rsidRPr="00B74D0E">
        <w:rPr>
          <w:lang w:val="en-GB"/>
        </w:rPr>
        <w:t xml:space="preserve"> Xhaferri</w:t>
      </w:r>
      <w:r>
        <w:rPr>
          <w:rFonts w:cs="Times New Roman"/>
          <w:lang w:val="en-GB"/>
        </w:rPr>
        <w:t xml:space="preserve">, ‘Delegated Acts, Implementing Acts, and Institutional Balance Implications Post-Lisbon’, </w:t>
      </w:r>
      <w:r>
        <w:rPr>
          <w:rFonts w:cs="Times New Roman"/>
          <w:lang w:val="en-GB"/>
        </w:rPr>
        <w:t xml:space="preserve">20 </w:t>
      </w:r>
      <w:r>
        <w:rPr>
          <w:rFonts w:cs="Times New Roman"/>
          <w:i/>
          <w:lang w:val="en-GB"/>
        </w:rPr>
        <w:t>Maastricht Journal of European and Comparative Law</w:t>
      </w:r>
      <w:r>
        <w:rPr>
          <w:rFonts w:cs="Times New Roman"/>
          <w:lang w:val="en-GB"/>
        </w:rPr>
        <w:t xml:space="preserve"> </w:t>
      </w:r>
      <w:r>
        <w:rPr>
          <w:rFonts w:cs="Times New Roman"/>
          <w:lang w:val="en-GB"/>
        </w:rPr>
        <w:t>(2013)</w:t>
      </w:r>
      <w:r>
        <w:rPr>
          <w:rFonts w:cs="Times New Roman"/>
          <w:lang w:val="en-GB"/>
        </w:rPr>
        <w:t xml:space="preserve">, </w:t>
      </w:r>
      <w:r>
        <w:rPr>
          <w:rFonts w:cs="Times New Roman"/>
          <w:lang w:val="en-GB"/>
        </w:rPr>
        <w:t xml:space="preserve">p. 558-561. </w:t>
      </w:r>
    </w:p>
  </w:footnote>
  <w:footnote w:id="4">
    <w:p w14:paraId="06B74296" w14:textId="50E0D8C2"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Article 2</w:t>
      </w:r>
      <w:r>
        <w:rPr>
          <w:rFonts w:cs="Times New Roman"/>
          <w:lang w:val="en-GB"/>
        </w:rPr>
        <w:t xml:space="preserve">(2) </w:t>
      </w:r>
      <w:r>
        <w:rPr>
          <w:rFonts w:cs="Times New Roman"/>
          <w:lang w:val="en-GB"/>
        </w:rPr>
        <w:t xml:space="preserve">of </w:t>
      </w:r>
      <w:r>
        <w:rPr>
          <w:rFonts w:cs="Times New Roman"/>
          <w:lang w:val="en-GB"/>
        </w:rPr>
        <w:t xml:space="preserve">Council Decision (EC) 1999/468 laying down the procedures for the exercise of implementing powers conferred on the Commission, </w:t>
      </w:r>
      <w:r>
        <w:rPr>
          <w:rFonts w:cs="Times New Roman"/>
          <w:lang w:val="en-GB"/>
        </w:rPr>
        <w:t>as amended by Council Decision (EC) 2006/512 amending Decision 1999/468/EC</w:t>
      </w:r>
      <w:r>
        <w:rPr>
          <w:rFonts w:cs="Times New Roman"/>
          <w:lang w:val="en-GB"/>
        </w:rPr>
        <w:t xml:space="preserve">, </w:t>
      </w:r>
      <w:r>
        <w:rPr>
          <w:rFonts w:cs="Times New Roman"/>
          <w:lang w:val="en-GB"/>
        </w:rPr>
        <w:t xml:space="preserve">[2006] </w:t>
      </w:r>
      <w:r>
        <w:rPr>
          <w:rFonts w:cs="Times New Roman"/>
          <w:lang w:val="en-GB"/>
        </w:rPr>
        <w:t>O</w:t>
      </w:r>
      <w:r>
        <w:rPr>
          <w:rFonts w:cs="Times New Roman"/>
          <w:lang w:val="en-GB"/>
        </w:rPr>
        <w:t>J</w:t>
      </w:r>
      <w:r>
        <w:rPr>
          <w:rFonts w:cs="Times New Roman"/>
          <w:lang w:val="en-GB"/>
        </w:rPr>
        <w:t xml:space="preserve"> L 200/11.</w:t>
      </w:r>
    </w:p>
  </w:footnote>
  <w:footnote w:id="5">
    <w:p w14:paraId="3F8234B5" w14:textId="06B02411" w:rsidR="005E3788" w:rsidRDefault="00B74D0E">
      <w:pPr>
        <w:pStyle w:val="Voetnoottekst"/>
        <w:rPr>
          <w:rFonts w:cs="Times New Roman"/>
          <w:lang w:val="fr-FR"/>
        </w:rPr>
      </w:pPr>
      <w:r>
        <w:rPr>
          <w:rStyle w:val="Voetnootmarkering"/>
          <w:rFonts w:cs="Times New Roman"/>
        </w:rPr>
        <w:footnoteRef/>
      </w:r>
      <w:r w:rsidRPr="00B74D0E">
        <w:rPr>
          <w:rFonts w:cs="Times New Roman"/>
          <w:lang w:val="fr-FR"/>
        </w:rPr>
        <w:t xml:space="preserve"> See </w:t>
      </w:r>
      <w:r w:rsidRPr="00B74D0E">
        <w:rPr>
          <w:rFonts w:cs="Times New Roman"/>
          <w:noProof/>
          <w:lang w:val="fr-FR"/>
        </w:rPr>
        <w:t>B</w:t>
      </w:r>
      <w:r w:rsidRPr="00B74D0E">
        <w:rPr>
          <w:rFonts w:cs="Times New Roman"/>
          <w:noProof/>
          <w:lang w:val="fr-FR"/>
        </w:rPr>
        <w:t>.</w:t>
      </w:r>
      <w:r w:rsidRPr="00B74D0E">
        <w:rPr>
          <w:rFonts w:cs="Times New Roman"/>
          <w:noProof/>
          <w:lang w:val="fr-FR"/>
        </w:rPr>
        <w:t xml:space="preserve"> Daiber</w:t>
      </w:r>
      <w:r w:rsidRPr="00B74D0E">
        <w:rPr>
          <w:rFonts w:cs="Times New Roman"/>
          <w:noProof/>
          <w:lang w:val="fr-FR"/>
        </w:rPr>
        <w:t xml:space="preserve">, </w:t>
      </w:r>
      <w:r w:rsidRPr="00B74D0E">
        <w:rPr>
          <w:rFonts w:cs="Times New Roman"/>
          <w:noProof/>
          <w:lang w:val="fr-FR"/>
        </w:rPr>
        <w:t>‘</w:t>
      </w:r>
      <w:r w:rsidRPr="00B74D0E">
        <w:rPr>
          <w:rFonts w:cs="Times New Roman"/>
          <w:noProof/>
          <w:lang w:val="fr-FR"/>
        </w:rPr>
        <w:t>EU-Durchführungsrechtsetzung nach Inkrafttreten der neuen Komitologie-Verordnung</w:t>
      </w:r>
      <w:r w:rsidRPr="00B74D0E">
        <w:rPr>
          <w:rFonts w:cs="Times New Roman"/>
          <w:lang w:val="fr-FR"/>
        </w:rPr>
        <w:t>’</w:t>
      </w:r>
      <w:r w:rsidRPr="00B74D0E">
        <w:rPr>
          <w:rFonts w:cs="Times New Roman"/>
          <w:noProof/>
          <w:lang w:val="fr-FR"/>
        </w:rPr>
        <w:t xml:space="preserve">, </w:t>
      </w:r>
      <w:r w:rsidRPr="00B74D0E">
        <w:rPr>
          <w:rFonts w:cs="Times New Roman"/>
          <w:noProof/>
          <w:lang w:val="fr-FR"/>
        </w:rPr>
        <w:t xml:space="preserve"> 47 </w:t>
      </w:r>
      <w:r w:rsidRPr="00B74D0E">
        <w:rPr>
          <w:rFonts w:cs="Times New Roman"/>
          <w:i/>
          <w:noProof/>
          <w:lang w:val="fr-FR"/>
        </w:rPr>
        <w:t>Europarecht</w:t>
      </w:r>
      <w:r w:rsidRPr="00B74D0E">
        <w:rPr>
          <w:rFonts w:cs="Times New Roman"/>
          <w:noProof/>
          <w:lang w:val="fr-FR"/>
        </w:rPr>
        <w:t xml:space="preserve"> </w:t>
      </w:r>
      <w:r w:rsidRPr="00B74D0E">
        <w:rPr>
          <w:rFonts w:cs="Times New Roman"/>
          <w:noProof/>
          <w:lang w:val="fr-FR"/>
        </w:rPr>
        <w:t>(2012)</w:t>
      </w:r>
      <w:r w:rsidRPr="00B74D0E">
        <w:rPr>
          <w:rFonts w:cs="Times New Roman"/>
          <w:noProof/>
          <w:lang w:val="fr-FR"/>
        </w:rPr>
        <w:t xml:space="preserve">, p. 241; </w:t>
      </w:r>
      <w:r w:rsidRPr="00B74D0E">
        <w:rPr>
          <w:lang w:val="fr-FR"/>
        </w:rPr>
        <w:t>D</w:t>
      </w:r>
      <w:r w:rsidRPr="00B74D0E">
        <w:rPr>
          <w:lang w:val="fr-FR"/>
        </w:rPr>
        <w:t>.</w:t>
      </w:r>
      <w:r w:rsidRPr="00B74D0E">
        <w:rPr>
          <w:lang w:val="fr-FR"/>
        </w:rPr>
        <w:t xml:space="preserve"> </w:t>
      </w:r>
      <w:r w:rsidRPr="00B74D0E">
        <w:rPr>
          <w:lang w:val="fr-FR"/>
        </w:rPr>
        <w:t>Bianchi</w:t>
      </w:r>
      <w:r>
        <w:rPr>
          <w:rFonts w:cs="Times New Roman"/>
          <w:noProof/>
          <w:lang w:val="fr-FR"/>
        </w:rPr>
        <w:t xml:space="preserve">, </w:t>
      </w:r>
      <w:r w:rsidRPr="00B74D0E">
        <w:rPr>
          <w:rFonts w:cs="Times New Roman"/>
          <w:lang w:val="fr-FR"/>
        </w:rPr>
        <w:t>‘</w:t>
      </w:r>
      <w:r>
        <w:rPr>
          <w:rFonts w:cs="Times New Roman"/>
          <w:noProof/>
          <w:lang w:val="fr-FR"/>
        </w:rPr>
        <w:t xml:space="preserve">La comitologie est morte! vive la comitologie! - Premières </w:t>
      </w:r>
      <w:r>
        <w:rPr>
          <w:rFonts w:cs="Times New Roman"/>
          <w:noProof/>
          <w:lang w:val="fr-FR"/>
        </w:rPr>
        <w:t>réflexions sur l'exécution du droit de l'Union après le Traité de Lisbonne - L'exemple de la Politique agricole commune</w:t>
      </w:r>
      <w:r w:rsidRPr="00B74D0E">
        <w:rPr>
          <w:rFonts w:cs="Times New Roman"/>
          <w:lang w:val="fr-FR"/>
        </w:rPr>
        <w:t>’</w:t>
      </w:r>
      <w:r>
        <w:rPr>
          <w:rFonts w:cs="Times New Roman"/>
          <w:noProof/>
          <w:lang w:val="fr-FR"/>
        </w:rPr>
        <w:t xml:space="preserve">, </w:t>
      </w:r>
      <w:r>
        <w:rPr>
          <w:rFonts w:cs="Times New Roman"/>
          <w:noProof/>
          <w:lang w:val="fr-FR"/>
        </w:rPr>
        <w:t xml:space="preserve">48 </w:t>
      </w:r>
      <w:r>
        <w:rPr>
          <w:rFonts w:cs="Times New Roman"/>
          <w:i/>
          <w:noProof/>
          <w:lang w:val="fr-FR"/>
        </w:rPr>
        <w:t>Revue trimestrielle de droit européen</w:t>
      </w:r>
      <w:r>
        <w:rPr>
          <w:rFonts w:cs="Times New Roman"/>
          <w:noProof/>
          <w:lang w:val="fr-FR"/>
        </w:rPr>
        <w:t xml:space="preserve"> </w:t>
      </w:r>
      <w:r>
        <w:rPr>
          <w:rFonts w:cs="Times New Roman"/>
          <w:noProof/>
          <w:lang w:val="fr-FR"/>
        </w:rPr>
        <w:t>(2012)</w:t>
      </w:r>
      <w:r>
        <w:rPr>
          <w:rFonts w:cs="Times New Roman"/>
          <w:noProof/>
          <w:lang w:val="fr-FR"/>
        </w:rPr>
        <w:t>, p. 96.</w:t>
      </w:r>
    </w:p>
  </w:footnote>
  <w:footnote w:id="6">
    <w:p w14:paraId="012CD0C9" w14:textId="02DC6A10"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Council Regulation (EC) 2494/95 concerning harmonized indices of co</w:t>
      </w:r>
      <w:r>
        <w:rPr>
          <w:rFonts w:cs="Times New Roman"/>
          <w:lang w:val="en-GB"/>
        </w:rPr>
        <w:t xml:space="preserve">nsumer prices, </w:t>
      </w:r>
      <w:r>
        <w:rPr>
          <w:rFonts w:cs="Times New Roman"/>
          <w:lang w:val="en-GB"/>
        </w:rPr>
        <w:t xml:space="preserve">[1995] </w:t>
      </w:r>
      <w:r>
        <w:rPr>
          <w:rFonts w:cs="Times New Roman"/>
          <w:lang w:val="en-GB"/>
        </w:rPr>
        <w:t>O</w:t>
      </w:r>
      <w:r>
        <w:rPr>
          <w:rFonts w:cs="Times New Roman"/>
          <w:lang w:val="en-GB"/>
        </w:rPr>
        <w:t>J</w:t>
      </w:r>
      <w:r>
        <w:rPr>
          <w:rFonts w:cs="Times New Roman"/>
          <w:lang w:val="en-GB"/>
        </w:rPr>
        <w:t xml:space="preserve"> </w:t>
      </w:r>
      <w:r>
        <w:rPr>
          <w:rFonts w:cs="Times New Roman"/>
          <w:lang w:val="en-GB"/>
        </w:rPr>
        <w:t>L 257/1.</w:t>
      </w:r>
    </w:p>
  </w:footnote>
  <w:footnote w:id="7">
    <w:p w14:paraId="2F525802" w14:textId="6E8F8A3E"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Regulation (EC) 1882/2003 of the European Parliament and of the Council adapting to Council Decision 1999/468/EC the provisions relating to committees which assist the Commission in the exercise of its implementing powers laid down in instruments subject </w:t>
      </w:r>
      <w:r>
        <w:rPr>
          <w:rFonts w:cs="Times New Roman"/>
          <w:lang w:val="en-GB"/>
        </w:rPr>
        <w:t xml:space="preserve">to the procedure referred to in Article 251 of the EC Treaty, </w:t>
      </w:r>
      <w:r>
        <w:rPr>
          <w:rFonts w:cs="Times New Roman"/>
          <w:lang w:val="en-GB"/>
        </w:rPr>
        <w:t xml:space="preserve">[2004] </w:t>
      </w:r>
      <w:r>
        <w:rPr>
          <w:rFonts w:cs="Times New Roman"/>
          <w:lang w:val="en-GB"/>
        </w:rPr>
        <w:t>O</w:t>
      </w:r>
      <w:r>
        <w:rPr>
          <w:rFonts w:cs="Times New Roman"/>
          <w:lang w:val="en-GB"/>
        </w:rPr>
        <w:t>J</w:t>
      </w:r>
      <w:r>
        <w:rPr>
          <w:rFonts w:cs="Times New Roman"/>
          <w:lang w:val="en-GB"/>
        </w:rPr>
        <w:t xml:space="preserve"> </w:t>
      </w:r>
      <w:r>
        <w:rPr>
          <w:rFonts w:cs="Times New Roman"/>
          <w:lang w:val="en-GB"/>
        </w:rPr>
        <w:t>L 284/1.</w:t>
      </w:r>
    </w:p>
  </w:footnote>
  <w:footnote w:id="8">
    <w:p w14:paraId="050705EB" w14:textId="715BC76C"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Regulation (EC) 596/2009 of the European Parliament and of the Council adapting a number of instruments subject to the procedure referred to in Article 251 of the Tre</w:t>
      </w:r>
      <w:r>
        <w:rPr>
          <w:rFonts w:cs="Times New Roman"/>
          <w:lang w:val="en-GB"/>
        </w:rPr>
        <w:t xml:space="preserve">aty to Council Decision 1999/468/EC with regard to the regulatory procedure with scrutiny, </w:t>
      </w:r>
      <w:r>
        <w:rPr>
          <w:rFonts w:cs="Times New Roman"/>
          <w:lang w:val="en-GB"/>
        </w:rPr>
        <w:t>[2009] O</w:t>
      </w:r>
      <w:r>
        <w:rPr>
          <w:rFonts w:cs="Times New Roman"/>
          <w:lang w:val="en-GB"/>
        </w:rPr>
        <w:t>J</w:t>
      </w:r>
      <w:r>
        <w:rPr>
          <w:rFonts w:cs="Times New Roman"/>
          <w:lang w:val="en-GB"/>
        </w:rPr>
        <w:t xml:space="preserve"> </w:t>
      </w:r>
      <w:r>
        <w:rPr>
          <w:rFonts w:cs="Times New Roman"/>
          <w:lang w:val="en-GB"/>
        </w:rPr>
        <w:t>L 188/14.</w:t>
      </w:r>
    </w:p>
  </w:footnote>
  <w:footnote w:id="9">
    <w:p w14:paraId="797AC865" w14:textId="31577963"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w:t>
      </w:r>
      <w:r>
        <w:rPr>
          <w:rFonts w:cs="Times New Roman"/>
          <w:lang w:val="en-GB"/>
        </w:rPr>
        <w:t>Council Decision (EC) 1999/468</w:t>
      </w:r>
      <w:r>
        <w:rPr>
          <w:rFonts w:cs="Times New Roman"/>
          <w:lang w:val="en-GB"/>
        </w:rPr>
        <w:t>.</w:t>
      </w:r>
    </w:p>
  </w:footnote>
  <w:footnote w:id="10">
    <w:p w14:paraId="7666BFD7" w14:textId="3FB02253"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Commission Regulation (EU) 119/2013 amending Regulation (EC) No 2214/96 concerning harmonised indices of consumer prices (HICP), </w:t>
      </w:r>
      <w:r>
        <w:rPr>
          <w:rFonts w:cs="Times New Roman"/>
          <w:lang w:val="en-GB"/>
        </w:rPr>
        <w:t xml:space="preserve">[2013] </w:t>
      </w:r>
      <w:r>
        <w:rPr>
          <w:rFonts w:cs="Times New Roman"/>
          <w:lang w:val="en-GB"/>
        </w:rPr>
        <w:t>O</w:t>
      </w:r>
      <w:r>
        <w:rPr>
          <w:rFonts w:cs="Times New Roman"/>
          <w:lang w:val="en-GB"/>
        </w:rPr>
        <w:t>J</w:t>
      </w:r>
      <w:r>
        <w:rPr>
          <w:rFonts w:cs="Times New Roman"/>
          <w:lang w:val="en-GB"/>
        </w:rPr>
        <w:t xml:space="preserve"> L 41/1; Commission Regulation (EU) 93/2013 laying down detaile</w:t>
      </w:r>
      <w:r>
        <w:rPr>
          <w:rFonts w:cs="Times New Roman"/>
          <w:lang w:val="en-GB"/>
        </w:rPr>
        <w:t>d rules for the implementation of Council Regulation (EC) No 2494/95,</w:t>
      </w:r>
      <w:r>
        <w:rPr>
          <w:rFonts w:cs="Times New Roman"/>
          <w:lang w:val="en-GB"/>
        </w:rPr>
        <w:t xml:space="preserve"> [2013]</w:t>
      </w:r>
      <w:r>
        <w:rPr>
          <w:rFonts w:cs="Times New Roman"/>
          <w:lang w:val="en-GB"/>
        </w:rPr>
        <w:t xml:space="preserve"> O</w:t>
      </w:r>
      <w:r>
        <w:rPr>
          <w:rFonts w:cs="Times New Roman"/>
          <w:lang w:val="en-GB"/>
        </w:rPr>
        <w:t>J</w:t>
      </w:r>
      <w:r>
        <w:rPr>
          <w:rFonts w:cs="Times New Roman"/>
          <w:lang w:val="en-GB"/>
        </w:rPr>
        <w:t xml:space="preserve"> L 33/14.</w:t>
      </w:r>
    </w:p>
  </w:footnote>
  <w:footnote w:id="11">
    <w:p w14:paraId="5EDA87FA" w14:textId="74CB5FA7" w:rsidR="005E3788" w:rsidRDefault="00B74D0E">
      <w:pPr>
        <w:pStyle w:val="Voetnoottekst"/>
        <w:rPr>
          <w:rFonts w:cs="Times New Roman"/>
          <w:lang w:val="en-US"/>
        </w:rPr>
      </w:pPr>
      <w:r>
        <w:rPr>
          <w:rStyle w:val="Voetnootmarkering"/>
          <w:rFonts w:cs="Times New Roman"/>
        </w:rPr>
        <w:footnoteRef/>
      </w:r>
      <w:r>
        <w:rPr>
          <w:rFonts w:cs="Times New Roman"/>
          <w:lang w:val="en-US"/>
        </w:rPr>
        <w:t xml:space="preserve"> See Joined </w:t>
      </w:r>
      <w:r>
        <w:rPr>
          <w:rFonts w:cs="Times New Roman"/>
          <w:lang w:val="en-US"/>
        </w:rPr>
        <w:t>C</w:t>
      </w:r>
      <w:r>
        <w:rPr>
          <w:rFonts w:cs="Times New Roman"/>
          <w:lang w:val="en-US"/>
        </w:rPr>
        <w:t xml:space="preserve">ases T-261/13 </w:t>
      </w:r>
      <w:r>
        <w:rPr>
          <w:rFonts w:cs="Times New Roman"/>
          <w:lang w:val="en-US"/>
        </w:rPr>
        <w:t>and</w:t>
      </w:r>
      <w:r>
        <w:rPr>
          <w:rFonts w:cs="Times New Roman"/>
          <w:lang w:val="en-US"/>
        </w:rPr>
        <w:t xml:space="preserve"> T-86/14</w:t>
      </w:r>
      <w:r>
        <w:rPr>
          <w:rFonts w:cs="Times New Roman"/>
          <w:lang w:val="en-US"/>
        </w:rPr>
        <w:t xml:space="preserve"> </w:t>
      </w:r>
      <w:r>
        <w:rPr>
          <w:rFonts w:cs="Times New Roman"/>
          <w:i/>
          <w:lang w:val="en-US"/>
        </w:rPr>
        <w:t>Netherlands v. Commission</w:t>
      </w:r>
      <w:r>
        <w:rPr>
          <w:rFonts w:cs="Times New Roman"/>
          <w:lang w:val="en-US"/>
        </w:rPr>
        <w:t>,</w:t>
      </w:r>
      <w:r>
        <w:rPr>
          <w:rFonts w:cs="Times New Roman"/>
          <w:lang w:val="en-US"/>
        </w:rPr>
        <w:t xml:space="preserve"> </w:t>
      </w:r>
      <w:r>
        <w:rPr>
          <w:rFonts w:cs="Times New Roman"/>
          <w:lang w:val="en-US"/>
        </w:rPr>
        <w:t>EU:T:2015:671, para. 32.</w:t>
      </w:r>
    </w:p>
  </w:footnote>
  <w:footnote w:id="12">
    <w:p w14:paraId="009F58D1" w14:textId="77777777" w:rsidR="005E3788" w:rsidRDefault="00B74D0E">
      <w:pPr>
        <w:pStyle w:val="Voetnoottekst"/>
        <w:rPr>
          <w:rFonts w:cs="Times New Roman"/>
          <w:lang w:val="en-US"/>
        </w:rPr>
      </w:pPr>
      <w:r>
        <w:rPr>
          <w:rStyle w:val="Voetnootmarkering"/>
          <w:rFonts w:cs="Times New Roman"/>
        </w:rPr>
        <w:footnoteRef/>
      </w:r>
      <w:r>
        <w:rPr>
          <w:rFonts w:cs="Times New Roman"/>
          <w:lang w:val="en-US"/>
        </w:rPr>
        <w:t xml:space="preserve"> </w:t>
      </w:r>
      <w:r w:rsidRPr="00B74D0E">
        <w:rPr>
          <w:rFonts w:cs="Times New Roman"/>
          <w:lang w:val="en-US"/>
        </w:rPr>
        <w:t>Ibid</w:t>
      </w:r>
      <w:r>
        <w:rPr>
          <w:rFonts w:cs="Times New Roman"/>
          <w:lang w:val="en-US"/>
        </w:rPr>
        <w:t>., para. 35.</w:t>
      </w:r>
    </w:p>
  </w:footnote>
  <w:footnote w:id="13">
    <w:p w14:paraId="7C1EF8FA" w14:textId="77777777" w:rsidR="005E3788" w:rsidRDefault="00B74D0E">
      <w:pPr>
        <w:pStyle w:val="Voetnoottekst"/>
        <w:rPr>
          <w:rFonts w:cs="Times New Roman"/>
          <w:lang w:val="en-US"/>
        </w:rPr>
      </w:pPr>
      <w:r>
        <w:rPr>
          <w:rStyle w:val="Voetnootmarkering"/>
          <w:rFonts w:cs="Times New Roman"/>
        </w:rPr>
        <w:footnoteRef/>
      </w:r>
      <w:r>
        <w:rPr>
          <w:rFonts w:cs="Times New Roman"/>
          <w:lang w:val="en-US"/>
        </w:rPr>
        <w:t xml:space="preserve"> </w:t>
      </w:r>
      <w:r w:rsidRPr="00B74D0E">
        <w:rPr>
          <w:rFonts w:cs="Times New Roman"/>
          <w:lang w:val="en-US"/>
        </w:rPr>
        <w:t>Ibid</w:t>
      </w:r>
      <w:r>
        <w:rPr>
          <w:rFonts w:cs="Times New Roman"/>
          <w:lang w:val="en-US"/>
        </w:rPr>
        <w:t xml:space="preserve">., para. 41. </w:t>
      </w:r>
    </w:p>
  </w:footnote>
  <w:footnote w:id="14">
    <w:p w14:paraId="4B4291B9" w14:textId="57E973CA" w:rsidR="005E3788" w:rsidRDefault="00B74D0E">
      <w:pPr>
        <w:pStyle w:val="Voetnoottekst"/>
        <w:rPr>
          <w:rFonts w:cs="Times New Roman"/>
          <w:lang w:val="en-US"/>
        </w:rPr>
      </w:pPr>
      <w:r>
        <w:rPr>
          <w:rStyle w:val="Voetnootmarkering"/>
          <w:rFonts w:cs="Times New Roman"/>
        </w:rPr>
        <w:footnoteRef/>
      </w:r>
      <w:r>
        <w:rPr>
          <w:rFonts w:cs="Times New Roman"/>
          <w:lang w:val="en-US"/>
        </w:rPr>
        <w:t xml:space="preserve"> </w:t>
      </w:r>
      <w:r>
        <w:rPr>
          <w:rFonts w:cs="Times New Roman"/>
          <w:noProof/>
          <w:lang w:val="en-US"/>
        </w:rPr>
        <w:t>Case C-427/12</w:t>
      </w:r>
      <w:r>
        <w:rPr>
          <w:rFonts w:cs="Times New Roman"/>
          <w:noProof/>
          <w:lang w:val="en-US"/>
        </w:rPr>
        <w:t xml:space="preserve"> </w:t>
      </w:r>
      <w:r>
        <w:rPr>
          <w:rFonts w:cs="Times New Roman"/>
          <w:i/>
          <w:noProof/>
          <w:lang w:val="en-US"/>
        </w:rPr>
        <w:t>Commission v. Parliament and Council</w:t>
      </w:r>
      <w:r>
        <w:rPr>
          <w:rFonts w:cs="Times New Roman"/>
          <w:noProof/>
          <w:lang w:val="en-US"/>
        </w:rPr>
        <w:t xml:space="preserve">, </w:t>
      </w:r>
      <w:r>
        <w:rPr>
          <w:rFonts w:cs="Times New Roman"/>
          <w:noProof/>
          <w:lang w:val="en-US"/>
        </w:rPr>
        <w:t>EU:C:2014:170.</w:t>
      </w:r>
    </w:p>
  </w:footnote>
  <w:footnote w:id="15">
    <w:p w14:paraId="53DD31CF" w14:textId="48FF6DB8" w:rsidR="005E3788" w:rsidRPr="00B74D0E" w:rsidRDefault="00B74D0E">
      <w:pPr>
        <w:pStyle w:val="Voetnoottekst"/>
        <w:rPr>
          <w:rFonts w:cs="Times New Roman"/>
          <w:lang w:val="en-US"/>
        </w:rPr>
      </w:pPr>
      <w:r>
        <w:rPr>
          <w:rStyle w:val="Voetnootmarkering"/>
          <w:rFonts w:cs="Times New Roman"/>
        </w:rPr>
        <w:footnoteRef/>
      </w:r>
      <w:r w:rsidRPr="00B74D0E">
        <w:rPr>
          <w:rFonts w:cs="Times New Roman"/>
          <w:lang w:val="en-US"/>
        </w:rPr>
        <w:t xml:space="preserve"> Joined </w:t>
      </w:r>
      <w:r w:rsidRPr="00B74D0E">
        <w:rPr>
          <w:rFonts w:cs="Times New Roman"/>
          <w:lang w:val="en-US"/>
        </w:rPr>
        <w:t>C</w:t>
      </w:r>
      <w:r w:rsidRPr="00B74D0E">
        <w:rPr>
          <w:rFonts w:cs="Times New Roman"/>
          <w:lang w:val="en-US"/>
        </w:rPr>
        <w:t xml:space="preserve">ases T-261/13 </w:t>
      </w:r>
      <w:r w:rsidRPr="00B74D0E">
        <w:rPr>
          <w:rFonts w:cs="Times New Roman"/>
          <w:lang w:val="en-US"/>
        </w:rPr>
        <w:t>and</w:t>
      </w:r>
      <w:r w:rsidRPr="00B74D0E">
        <w:rPr>
          <w:rFonts w:cs="Times New Roman"/>
          <w:lang w:val="en-US"/>
        </w:rPr>
        <w:t xml:space="preserve"> T-86/14</w:t>
      </w:r>
      <w:r w:rsidRPr="00B74D0E">
        <w:rPr>
          <w:rFonts w:cs="Times New Roman"/>
          <w:lang w:val="en-US"/>
        </w:rPr>
        <w:t xml:space="preserve"> </w:t>
      </w:r>
      <w:r w:rsidRPr="00B74D0E">
        <w:rPr>
          <w:rFonts w:cs="Times New Roman"/>
          <w:i/>
          <w:lang w:val="en-US"/>
        </w:rPr>
        <w:t>Netherlands v. Commission</w:t>
      </w:r>
      <w:r w:rsidRPr="00B74D0E">
        <w:rPr>
          <w:rFonts w:cs="Times New Roman"/>
          <w:lang w:val="en-US"/>
        </w:rPr>
        <w:t xml:space="preserve">, </w:t>
      </w:r>
      <w:r w:rsidRPr="00B74D0E">
        <w:rPr>
          <w:rFonts w:cs="Times New Roman"/>
          <w:lang w:val="en-US"/>
        </w:rPr>
        <w:t>para. 43.</w:t>
      </w:r>
    </w:p>
  </w:footnote>
  <w:footnote w:id="16">
    <w:p w14:paraId="67CCB69A" w14:textId="2F6E018D" w:rsidR="005E3788" w:rsidRPr="00B74D0E" w:rsidRDefault="00B74D0E">
      <w:pPr>
        <w:pStyle w:val="Voetnoottekst"/>
        <w:rPr>
          <w:rFonts w:cs="Times New Roman"/>
          <w:lang w:val="en-US"/>
        </w:rPr>
      </w:pPr>
      <w:r>
        <w:rPr>
          <w:rStyle w:val="Voetnootmarkering"/>
          <w:rFonts w:cs="Times New Roman"/>
        </w:rPr>
        <w:footnoteRef/>
      </w:r>
      <w:r w:rsidRPr="00B74D0E">
        <w:rPr>
          <w:rFonts w:cs="Times New Roman"/>
          <w:lang w:val="en-US"/>
        </w:rPr>
        <w:t xml:space="preserve"> Case C-65/13</w:t>
      </w:r>
      <w:r w:rsidRPr="00B74D0E">
        <w:rPr>
          <w:rFonts w:cs="Times New Roman"/>
          <w:lang w:val="en-US"/>
        </w:rPr>
        <w:t xml:space="preserve"> </w:t>
      </w:r>
      <w:r w:rsidRPr="00B74D0E">
        <w:rPr>
          <w:rFonts w:cs="Times New Roman"/>
          <w:i/>
          <w:lang w:val="en-US"/>
        </w:rPr>
        <w:t>Parliament v. Commission</w:t>
      </w:r>
      <w:r w:rsidRPr="00B74D0E">
        <w:rPr>
          <w:rFonts w:cs="Times New Roman"/>
          <w:lang w:val="en-US"/>
        </w:rPr>
        <w:t xml:space="preserve">, </w:t>
      </w:r>
      <w:r w:rsidRPr="00B74D0E">
        <w:rPr>
          <w:rFonts w:cs="Times New Roman"/>
          <w:lang w:val="en-US"/>
        </w:rPr>
        <w:t>EU:C:2014:2289.</w:t>
      </w:r>
    </w:p>
  </w:footnote>
  <w:footnote w:id="17">
    <w:p w14:paraId="33861B12" w14:textId="2F430001" w:rsidR="005E3788" w:rsidRPr="00B74D0E" w:rsidRDefault="00B74D0E">
      <w:pPr>
        <w:pStyle w:val="Voetnoottekst"/>
        <w:rPr>
          <w:rFonts w:cs="Times New Roman"/>
          <w:lang w:val="en-GB"/>
        </w:rPr>
      </w:pPr>
      <w:r>
        <w:rPr>
          <w:rStyle w:val="Voetnootmarkering"/>
          <w:rFonts w:cs="Times New Roman"/>
        </w:rPr>
        <w:footnoteRef/>
      </w:r>
      <w:r w:rsidRPr="00B74D0E">
        <w:rPr>
          <w:rFonts w:cs="Times New Roman"/>
          <w:lang w:val="en-US"/>
        </w:rPr>
        <w:t xml:space="preserve"> Joined </w:t>
      </w:r>
      <w:r w:rsidRPr="00B74D0E">
        <w:rPr>
          <w:rFonts w:cs="Times New Roman"/>
          <w:lang w:val="en-US"/>
        </w:rPr>
        <w:t>C</w:t>
      </w:r>
      <w:r w:rsidRPr="00B74D0E">
        <w:rPr>
          <w:rFonts w:cs="Times New Roman"/>
          <w:lang w:val="en-US"/>
        </w:rPr>
        <w:t xml:space="preserve">ases T-261/13 </w:t>
      </w:r>
      <w:r w:rsidRPr="00B74D0E">
        <w:rPr>
          <w:rFonts w:cs="Times New Roman"/>
          <w:lang w:val="en-US"/>
        </w:rPr>
        <w:t>and</w:t>
      </w:r>
      <w:r w:rsidRPr="00B74D0E">
        <w:rPr>
          <w:rFonts w:cs="Times New Roman"/>
          <w:lang w:val="en-US"/>
        </w:rPr>
        <w:t xml:space="preserve"> T-86/14</w:t>
      </w:r>
      <w:r w:rsidRPr="00B74D0E">
        <w:rPr>
          <w:rFonts w:cs="Times New Roman"/>
          <w:lang w:val="en-US"/>
        </w:rPr>
        <w:t xml:space="preserve"> </w:t>
      </w:r>
      <w:r w:rsidRPr="00B74D0E">
        <w:rPr>
          <w:rFonts w:cs="Times New Roman"/>
          <w:i/>
          <w:lang w:val="en-US"/>
        </w:rPr>
        <w:t>Netherlands v. Commission</w:t>
      </w:r>
      <w:r w:rsidRPr="00B74D0E">
        <w:rPr>
          <w:rFonts w:cs="Times New Roman"/>
          <w:lang w:val="en-US"/>
        </w:rPr>
        <w:t>,</w:t>
      </w:r>
      <w:r w:rsidRPr="00B74D0E">
        <w:rPr>
          <w:rFonts w:cs="Times New Roman"/>
          <w:lang w:val="en-US"/>
        </w:rPr>
        <w:t xml:space="preserve"> </w:t>
      </w:r>
      <w:r w:rsidRPr="00B74D0E">
        <w:rPr>
          <w:rFonts w:cs="Times New Roman"/>
          <w:lang w:val="en-US"/>
        </w:rPr>
        <w:t xml:space="preserve">para. </w:t>
      </w:r>
      <w:r w:rsidRPr="00B74D0E">
        <w:rPr>
          <w:rFonts w:cs="Times New Roman"/>
          <w:lang w:val="en-GB"/>
        </w:rPr>
        <w:t>45.</w:t>
      </w:r>
    </w:p>
  </w:footnote>
  <w:footnote w:id="18">
    <w:p w14:paraId="3AC9554F" w14:textId="77777777" w:rsidR="005E3788" w:rsidRPr="00B74D0E" w:rsidRDefault="00B74D0E">
      <w:pPr>
        <w:pStyle w:val="Voetnoottekst"/>
        <w:rPr>
          <w:rFonts w:cs="Times New Roman"/>
          <w:lang w:val="en-GB"/>
        </w:rPr>
      </w:pPr>
      <w:r>
        <w:rPr>
          <w:rStyle w:val="Voetnootmarkering"/>
          <w:rFonts w:cs="Times New Roman"/>
        </w:rPr>
        <w:footnoteRef/>
      </w:r>
      <w:r w:rsidRPr="00B74D0E">
        <w:rPr>
          <w:rFonts w:cs="Times New Roman"/>
          <w:lang w:val="en-GB"/>
        </w:rPr>
        <w:t xml:space="preserve"> </w:t>
      </w:r>
      <w:r w:rsidRPr="00B74D0E">
        <w:rPr>
          <w:rFonts w:cs="Times New Roman"/>
          <w:lang w:val="en-GB"/>
        </w:rPr>
        <w:t>Ibid</w:t>
      </w:r>
      <w:r w:rsidRPr="00B74D0E">
        <w:rPr>
          <w:rFonts w:cs="Times New Roman"/>
          <w:lang w:val="en-GB"/>
        </w:rPr>
        <w:t>., para. 48.</w:t>
      </w:r>
    </w:p>
  </w:footnote>
  <w:footnote w:id="19">
    <w:p w14:paraId="58DA9462" w14:textId="77777777" w:rsidR="005E3788" w:rsidRPr="00B74D0E" w:rsidRDefault="00B74D0E">
      <w:pPr>
        <w:pStyle w:val="Voetnoottekst"/>
        <w:rPr>
          <w:rFonts w:cs="Times New Roman"/>
          <w:lang w:val="en-GB"/>
        </w:rPr>
      </w:pPr>
      <w:r>
        <w:rPr>
          <w:rStyle w:val="Voetnootmarkering"/>
          <w:rFonts w:cs="Times New Roman"/>
        </w:rPr>
        <w:footnoteRef/>
      </w:r>
      <w:r w:rsidRPr="00B74D0E">
        <w:rPr>
          <w:rFonts w:cs="Times New Roman"/>
          <w:lang w:val="en-GB"/>
        </w:rPr>
        <w:t xml:space="preserve"> </w:t>
      </w:r>
      <w:r w:rsidRPr="00B74D0E">
        <w:rPr>
          <w:rFonts w:cs="Times New Roman"/>
          <w:lang w:val="en-GB"/>
        </w:rPr>
        <w:t>Ibid</w:t>
      </w:r>
      <w:r w:rsidRPr="00B74D0E">
        <w:rPr>
          <w:rFonts w:cs="Times New Roman"/>
          <w:lang w:val="en-GB"/>
        </w:rPr>
        <w:t>., para. 50.</w:t>
      </w:r>
    </w:p>
  </w:footnote>
  <w:footnote w:id="20">
    <w:p w14:paraId="547B67E4" w14:textId="0749B3AC" w:rsidR="005E3788" w:rsidRDefault="00B74D0E">
      <w:pPr>
        <w:pStyle w:val="Voetnoottekst"/>
        <w:rPr>
          <w:rFonts w:cs="Times New Roman"/>
          <w:lang w:val="en-US"/>
        </w:rPr>
      </w:pPr>
      <w:r>
        <w:rPr>
          <w:rStyle w:val="Voetnootmarkering"/>
          <w:rFonts w:cs="Times New Roman"/>
        </w:rPr>
        <w:footnoteRef/>
      </w:r>
      <w:r w:rsidRPr="00B74D0E">
        <w:rPr>
          <w:rFonts w:cs="Times New Roman"/>
          <w:lang w:val="fr-FR"/>
        </w:rPr>
        <w:t xml:space="preserve"> See i</w:t>
      </w:r>
      <w:r w:rsidRPr="00B74D0E">
        <w:rPr>
          <w:rFonts w:cs="Times New Roman"/>
          <w:lang w:val="fr-FR"/>
        </w:rPr>
        <w:t xml:space="preserve">nter </w:t>
      </w:r>
      <w:r w:rsidRPr="00B74D0E">
        <w:rPr>
          <w:rFonts w:cs="Times New Roman"/>
          <w:lang w:val="fr-FR"/>
        </w:rPr>
        <w:t>a</w:t>
      </w:r>
      <w:r w:rsidRPr="00B74D0E">
        <w:rPr>
          <w:rFonts w:cs="Times New Roman"/>
          <w:lang w:val="fr-FR"/>
        </w:rPr>
        <w:t>lia</w:t>
      </w:r>
      <w:r w:rsidRPr="00B74D0E">
        <w:rPr>
          <w:rFonts w:cs="Times New Roman"/>
          <w:lang w:val="fr-FR"/>
        </w:rPr>
        <w:t xml:space="preserve"> </w:t>
      </w:r>
      <w:r w:rsidRPr="00B74D0E">
        <w:rPr>
          <w:lang w:val="fr-FR"/>
        </w:rPr>
        <w:t>D</w:t>
      </w:r>
      <w:r w:rsidRPr="00B74D0E">
        <w:rPr>
          <w:lang w:val="fr-FR"/>
        </w:rPr>
        <w:t>.</w:t>
      </w:r>
      <w:r w:rsidRPr="00B74D0E">
        <w:rPr>
          <w:lang w:val="fr-FR"/>
        </w:rPr>
        <w:t xml:space="preserve"> Bianchi</w:t>
      </w:r>
      <w:r w:rsidRPr="00B74D0E">
        <w:rPr>
          <w:rFonts w:cs="Times New Roman"/>
          <w:noProof/>
          <w:lang w:val="fr-FR"/>
        </w:rPr>
        <w:t xml:space="preserve">, </w:t>
      </w:r>
      <w:r w:rsidRPr="00B74D0E">
        <w:rPr>
          <w:rFonts w:cs="Times New Roman"/>
          <w:noProof/>
          <w:lang w:val="fr-FR"/>
        </w:rPr>
        <w:t xml:space="preserve">48 </w:t>
      </w:r>
      <w:r w:rsidRPr="00B74D0E">
        <w:rPr>
          <w:rFonts w:cs="Times New Roman"/>
          <w:i/>
          <w:noProof/>
          <w:lang w:val="fr-FR"/>
        </w:rPr>
        <w:t>Revue trimestrielle de droit européen</w:t>
      </w:r>
      <w:r w:rsidRPr="00B74D0E">
        <w:rPr>
          <w:rFonts w:cs="Times New Roman"/>
          <w:noProof/>
          <w:lang w:val="fr-FR"/>
        </w:rPr>
        <w:t xml:space="preserve"> </w:t>
      </w:r>
      <w:r w:rsidRPr="00B74D0E">
        <w:rPr>
          <w:rFonts w:cs="Times New Roman"/>
          <w:noProof/>
          <w:lang w:val="fr-FR"/>
        </w:rPr>
        <w:t>(2012)</w:t>
      </w:r>
      <w:r w:rsidRPr="00B74D0E">
        <w:rPr>
          <w:rFonts w:cs="Times New Roman"/>
          <w:noProof/>
          <w:lang w:val="fr-FR"/>
        </w:rPr>
        <w:t>, p. 83.</w:t>
      </w:r>
      <w:r w:rsidRPr="00B74D0E">
        <w:rPr>
          <w:rFonts w:cs="Times New Roman"/>
          <w:lang w:val="fr-FR"/>
        </w:rPr>
        <w:t xml:space="preserve"> </w:t>
      </w:r>
      <w:r>
        <w:rPr>
          <w:rFonts w:cs="Times New Roman"/>
          <w:lang w:val="en-US"/>
        </w:rPr>
        <w:t xml:space="preserve">For an argument in favour of the Lisbon Treaty’s distinction in constitutional terms, see </w:t>
      </w:r>
      <w:r w:rsidRPr="00B74D0E">
        <w:rPr>
          <w:lang w:val="en-GB"/>
        </w:rPr>
        <w:t>R</w:t>
      </w:r>
      <w:r w:rsidRPr="00B74D0E">
        <w:rPr>
          <w:lang w:val="en-GB"/>
        </w:rPr>
        <w:t>.</w:t>
      </w:r>
      <w:r w:rsidRPr="00B74D0E">
        <w:rPr>
          <w:lang w:val="en-GB"/>
        </w:rPr>
        <w:t xml:space="preserve"> Schütze</w:t>
      </w:r>
      <w:r>
        <w:rPr>
          <w:rFonts w:cs="Times New Roman"/>
          <w:noProof/>
          <w:lang w:val="en-US"/>
        </w:rPr>
        <w:t xml:space="preserve">, </w:t>
      </w:r>
      <w:r>
        <w:rPr>
          <w:rFonts w:cs="Times New Roman"/>
          <w:i/>
          <w:noProof/>
          <w:lang w:val="en-US"/>
        </w:rPr>
        <w:t>European constitutional law</w:t>
      </w:r>
      <w:r>
        <w:rPr>
          <w:rFonts w:cs="Times New Roman"/>
          <w:noProof/>
          <w:lang w:val="en-US"/>
        </w:rPr>
        <w:t xml:space="preserve"> </w:t>
      </w:r>
      <w:r>
        <w:rPr>
          <w:rFonts w:cs="Times New Roman"/>
          <w:noProof/>
          <w:lang w:val="en-US"/>
        </w:rPr>
        <w:t>(</w:t>
      </w:r>
      <w:r>
        <w:rPr>
          <w:rFonts w:cs="Times New Roman"/>
          <w:noProof/>
          <w:lang w:val="en-US"/>
        </w:rPr>
        <w:t>Cambridge University Press, 2012</w:t>
      </w:r>
      <w:r>
        <w:rPr>
          <w:rFonts w:cs="Times New Roman"/>
          <w:noProof/>
          <w:lang w:val="en-US"/>
        </w:rPr>
        <w:t>)</w:t>
      </w:r>
      <w:r>
        <w:rPr>
          <w:rFonts w:cs="Times New Roman"/>
          <w:noProof/>
          <w:lang w:val="en-US"/>
        </w:rPr>
        <w:t xml:space="preserve">, </w:t>
      </w:r>
      <w:r>
        <w:rPr>
          <w:rFonts w:cs="Times New Roman"/>
          <w:noProof/>
          <w:lang w:val="en-US"/>
        </w:rPr>
        <w:t>p. 238-240.</w:t>
      </w:r>
      <w:r>
        <w:rPr>
          <w:rFonts w:cs="Times New Roman"/>
          <w:lang w:val="en-US"/>
        </w:rPr>
        <w:t xml:space="preserve"> </w:t>
      </w:r>
    </w:p>
  </w:footnote>
  <w:footnote w:id="21">
    <w:p w14:paraId="1D4D6C13" w14:textId="126C0A26" w:rsidR="005E3788" w:rsidRDefault="00B74D0E">
      <w:pPr>
        <w:pStyle w:val="Voetnoottekst"/>
        <w:rPr>
          <w:rFonts w:cs="Times New Roman"/>
          <w:lang w:val="fr-FR"/>
        </w:rPr>
      </w:pPr>
      <w:r>
        <w:rPr>
          <w:rStyle w:val="Voetnootmarkering"/>
          <w:rFonts w:cs="Times New Roman"/>
        </w:rPr>
        <w:footnoteRef/>
      </w:r>
      <w:r>
        <w:rPr>
          <w:rFonts w:cs="Times New Roman"/>
          <w:lang w:val="en-GB"/>
        </w:rPr>
        <w:t xml:space="preserve"> Hofmann for instance noted that the two Articles give exp</w:t>
      </w:r>
      <w:r>
        <w:rPr>
          <w:rFonts w:cs="Times New Roman"/>
          <w:lang w:val="en-GB"/>
        </w:rPr>
        <w:t>ression to the traditional idea of executive federalism (although this is really only the case for Article 291 TFEU), whereas the implementation of EU law in practice is much more complex and depends on networks and close cooperation between national and E</w:t>
      </w:r>
      <w:r>
        <w:rPr>
          <w:rFonts w:cs="Times New Roman"/>
          <w:lang w:val="en-GB"/>
        </w:rPr>
        <w:t xml:space="preserve">U executive actors. The distinction would thereby simply be outdated. See </w:t>
      </w:r>
      <w:r w:rsidRPr="00B74D0E">
        <w:rPr>
          <w:lang w:val="en-GB"/>
        </w:rPr>
        <w:t>H</w:t>
      </w:r>
      <w:r w:rsidRPr="00B74D0E">
        <w:rPr>
          <w:lang w:val="en-GB"/>
        </w:rPr>
        <w:t>.</w:t>
      </w:r>
      <w:r w:rsidRPr="00B74D0E">
        <w:rPr>
          <w:lang w:val="en-GB"/>
        </w:rPr>
        <w:t xml:space="preserve"> Hofmann</w:t>
      </w:r>
      <w:r>
        <w:rPr>
          <w:rFonts w:cs="Times New Roman"/>
          <w:noProof/>
          <w:lang w:val="en-GB"/>
        </w:rPr>
        <w:t xml:space="preserve">, </w:t>
      </w:r>
      <w:r>
        <w:rPr>
          <w:rFonts w:cs="Times New Roman"/>
          <w:noProof/>
          <w:lang w:val="en-GB"/>
        </w:rPr>
        <w:t>‘</w:t>
      </w:r>
      <w:r>
        <w:rPr>
          <w:rFonts w:cs="Times New Roman"/>
          <w:noProof/>
          <w:lang w:val="en-GB"/>
        </w:rPr>
        <w:t xml:space="preserve">Legislation, Delegation and Implementation under the Treaty of Lisbon: Typology Meets </w:t>
      </w:r>
      <w:r>
        <w:rPr>
          <w:rFonts w:cs="Times New Roman"/>
          <w:noProof/>
          <w:lang w:val="en-GB"/>
        </w:rPr>
        <w:t>Reality’</w:t>
      </w:r>
      <w:r>
        <w:rPr>
          <w:rFonts w:cs="Times New Roman"/>
          <w:noProof/>
          <w:lang w:val="en-GB"/>
        </w:rPr>
        <w:t xml:space="preserve">, </w:t>
      </w:r>
      <w:r>
        <w:rPr>
          <w:rFonts w:cs="Times New Roman"/>
          <w:noProof/>
          <w:lang w:val="en-GB"/>
        </w:rPr>
        <w:t xml:space="preserve">15 </w:t>
      </w:r>
      <w:r>
        <w:rPr>
          <w:rFonts w:cs="Times New Roman"/>
          <w:i/>
          <w:noProof/>
          <w:lang w:val="en-GB"/>
        </w:rPr>
        <w:t>European Law Journal</w:t>
      </w:r>
      <w:r>
        <w:rPr>
          <w:rFonts w:cs="Times New Roman"/>
          <w:noProof/>
          <w:lang w:val="en-GB"/>
        </w:rPr>
        <w:t xml:space="preserve"> </w:t>
      </w:r>
      <w:r>
        <w:rPr>
          <w:rFonts w:cs="Times New Roman"/>
          <w:noProof/>
          <w:lang w:val="en-GB"/>
        </w:rPr>
        <w:t>(2009)</w:t>
      </w:r>
      <w:r>
        <w:rPr>
          <w:rFonts w:cs="Times New Roman"/>
          <w:noProof/>
          <w:lang w:val="en-GB"/>
        </w:rPr>
        <w:t xml:space="preserve">, </w:t>
      </w:r>
      <w:r>
        <w:rPr>
          <w:rFonts w:cs="Times New Roman"/>
          <w:noProof/>
          <w:lang w:val="en-GB"/>
        </w:rPr>
        <w:t>p. 497-499.</w:t>
      </w:r>
      <w:r>
        <w:rPr>
          <w:rFonts w:cs="Times New Roman"/>
          <w:lang w:val="en-GB"/>
        </w:rPr>
        <w:t xml:space="preserve"> Stelkens notes that Article 291</w:t>
      </w:r>
      <w:r>
        <w:rPr>
          <w:rFonts w:cs="Times New Roman"/>
          <w:lang w:val="en-GB"/>
        </w:rPr>
        <w:t>(2) TFEU does not prevent the legislator from laying down itself the detailed provisions ensuring a uniform implementation of its legislation in the basic act and concludes from this that the legislator can also delegate th</w:t>
      </w:r>
      <w:r>
        <w:rPr>
          <w:rFonts w:cs="Times New Roman"/>
          <w:lang w:val="en-GB"/>
        </w:rPr>
        <w:t xml:space="preserve">is power under Article 290 TFEU. </w:t>
      </w:r>
      <w:r>
        <w:rPr>
          <w:rFonts w:cs="Times New Roman"/>
          <w:lang w:val="de-DE"/>
        </w:rPr>
        <w:t xml:space="preserve">See </w:t>
      </w:r>
      <w:r w:rsidRPr="00B74D0E">
        <w:rPr>
          <w:lang w:val="de-DE"/>
        </w:rPr>
        <w:t>U</w:t>
      </w:r>
      <w:r w:rsidRPr="00B74D0E">
        <w:rPr>
          <w:lang w:val="de-DE"/>
        </w:rPr>
        <w:t>.</w:t>
      </w:r>
      <w:r w:rsidRPr="00B74D0E">
        <w:rPr>
          <w:lang w:val="de-DE"/>
        </w:rPr>
        <w:t xml:space="preserve"> Stelkens</w:t>
      </w:r>
      <w:r>
        <w:rPr>
          <w:rFonts w:cs="Times New Roman"/>
          <w:noProof/>
          <w:lang w:val="de-DE"/>
        </w:rPr>
        <w:t>,</w:t>
      </w:r>
      <w:r>
        <w:rPr>
          <w:rFonts w:cs="Times New Roman"/>
          <w:noProof/>
          <w:lang w:val="de-DE"/>
        </w:rPr>
        <w:t xml:space="preserve"> ‘</w:t>
      </w:r>
      <w:r>
        <w:rPr>
          <w:rFonts w:cs="Times New Roman"/>
          <w:noProof/>
          <w:lang w:val="de-DE"/>
        </w:rPr>
        <w:t>Art. 291 AEUV, das Unionsverwaltungsrecht und die Verwaltungsautonomie der Mitgliedstaaten -zugleich zur Abgrenzung der Anwendungsbereiche von Art. 290 und Art. 291 AEUV</w:t>
      </w:r>
      <w:r w:rsidRPr="00B74D0E">
        <w:rPr>
          <w:rFonts w:cs="Times New Roman"/>
          <w:lang w:val="de-DE"/>
        </w:rPr>
        <w:t>’</w:t>
      </w:r>
      <w:r>
        <w:rPr>
          <w:rFonts w:cs="Times New Roman"/>
          <w:noProof/>
          <w:lang w:val="de-DE"/>
        </w:rPr>
        <w:t xml:space="preserve">, </w:t>
      </w:r>
      <w:r>
        <w:rPr>
          <w:rFonts w:cs="Times New Roman"/>
          <w:noProof/>
          <w:lang w:val="de-DE"/>
        </w:rPr>
        <w:t xml:space="preserve">47 </w:t>
      </w:r>
      <w:r>
        <w:rPr>
          <w:rFonts w:cs="Times New Roman"/>
          <w:i/>
          <w:noProof/>
          <w:lang w:val="de-DE"/>
        </w:rPr>
        <w:t>Europarecht</w:t>
      </w:r>
      <w:r>
        <w:rPr>
          <w:rFonts w:cs="Times New Roman"/>
          <w:noProof/>
          <w:lang w:val="de-DE"/>
        </w:rPr>
        <w:t xml:space="preserve"> </w:t>
      </w:r>
      <w:r>
        <w:rPr>
          <w:rFonts w:cs="Times New Roman"/>
          <w:noProof/>
          <w:lang w:val="de-DE"/>
        </w:rPr>
        <w:t>(2012)</w:t>
      </w:r>
      <w:r>
        <w:rPr>
          <w:rFonts w:cs="Times New Roman"/>
          <w:noProof/>
          <w:lang w:val="de-DE"/>
        </w:rPr>
        <w:t>, p. 542.</w:t>
      </w:r>
      <w:r>
        <w:rPr>
          <w:rFonts w:cs="Times New Roman"/>
          <w:lang w:val="de-DE"/>
        </w:rPr>
        <w:t xml:space="preserve"> </w:t>
      </w:r>
      <w:r>
        <w:rPr>
          <w:rFonts w:cs="Times New Roman"/>
          <w:lang w:val="en-GB"/>
        </w:rPr>
        <w:t xml:space="preserve">Still differently, Craig and Bianchi stressed that both an implementing act and a (supplementing) delegated act may ‘add’ something to a basic (legislative) act. </w:t>
      </w:r>
      <w:r w:rsidRPr="00F70358">
        <w:rPr>
          <w:rFonts w:cs="Times New Roman"/>
          <w:lang w:val="fr-FR"/>
        </w:rPr>
        <w:t xml:space="preserve">See </w:t>
      </w:r>
      <w:r w:rsidRPr="00B74D0E">
        <w:rPr>
          <w:rFonts w:cs="Times New Roman"/>
          <w:noProof/>
          <w:lang w:val="fr-FR"/>
        </w:rPr>
        <w:t>P</w:t>
      </w:r>
      <w:r w:rsidRPr="00B74D0E">
        <w:rPr>
          <w:rFonts w:cs="Times New Roman"/>
          <w:noProof/>
          <w:lang w:val="fr-FR"/>
        </w:rPr>
        <w:t>.</w:t>
      </w:r>
      <w:r w:rsidRPr="00B74D0E">
        <w:rPr>
          <w:rFonts w:cs="Times New Roman"/>
          <w:noProof/>
          <w:lang w:val="fr-FR"/>
        </w:rPr>
        <w:t xml:space="preserve"> Craig</w:t>
      </w:r>
      <w:r>
        <w:rPr>
          <w:rFonts w:cs="Times New Roman"/>
          <w:noProof/>
          <w:lang w:val="fr-FR"/>
        </w:rPr>
        <w:t xml:space="preserve">, </w:t>
      </w:r>
      <w:r>
        <w:rPr>
          <w:rFonts w:cs="Times New Roman"/>
          <w:noProof/>
          <w:lang w:val="fr-FR"/>
        </w:rPr>
        <w:t xml:space="preserve">36 </w:t>
      </w:r>
      <w:r>
        <w:rPr>
          <w:rFonts w:cs="Times New Roman"/>
          <w:i/>
          <w:noProof/>
          <w:lang w:val="fr-FR"/>
        </w:rPr>
        <w:t>European Law Review</w:t>
      </w:r>
      <w:r>
        <w:rPr>
          <w:rFonts w:cs="Times New Roman"/>
          <w:noProof/>
          <w:lang w:val="fr-FR"/>
        </w:rPr>
        <w:t xml:space="preserve"> </w:t>
      </w:r>
      <w:r>
        <w:rPr>
          <w:rFonts w:cs="Times New Roman"/>
          <w:noProof/>
          <w:lang w:val="fr-FR"/>
        </w:rPr>
        <w:t>(2011)</w:t>
      </w:r>
      <w:r>
        <w:rPr>
          <w:rFonts w:cs="Times New Roman"/>
          <w:noProof/>
          <w:lang w:val="fr-FR"/>
        </w:rPr>
        <w:t xml:space="preserve">, </w:t>
      </w:r>
      <w:r>
        <w:rPr>
          <w:rFonts w:cs="Times New Roman"/>
          <w:noProof/>
          <w:lang w:val="fr-FR"/>
        </w:rPr>
        <w:t>p. 672-674</w:t>
      </w:r>
      <w:r>
        <w:rPr>
          <w:rFonts w:cs="Times New Roman"/>
          <w:noProof/>
          <w:lang w:val="fr-FR"/>
        </w:rPr>
        <w:t xml:space="preserve">; </w:t>
      </w:r>
      <w:r>
        <w:rPr>
          <w:rFonts w:cs="Times New Roman"/>
          <w:smallCaps/>
          <w:noProof/>
          <w:lang w:val="fr-FR"/>
        </w:rPr>
        <w:t xml:space="preserve">D. </w:t>
      </w:r>
      <w:r>
        <w:rPr>
          <w:rFonts w:cs="Times New Roman"/>
          <w:smallCaps/>
          <w:noProof/>
          <w:lang w:val="fr-FR"/>
        </w:rPr>
        <w:t>Bianchi</w:t>
      </w:r>
      <w:r>
        <w:rPr>
          <w:rFonts w:cs="Times New Roman"/>
          <w:noProof/>
          <w:lang w:val="fr-FR"/>
        </w:rPr>
        <w:t xml:space="preserve">, </w:t>
      </w:r>
      <w:r>
        <w:rPr>
          <w:rFonts w:cs="Times New Roman"/>
          <w:noProof/>
          <w:lang w:val="fr-FR"/>
        </w:rPr>
        <w:t xml:space="preserve">48 </w:t>
      </w:r>
      <w:r>
        <w:rPr>
          <w:rFonts w:cs="Times New Roman"/>
          <w:i/>
          <w:noProof/>
          <w:lang w:val="fr-FR"/>
        </w:rPr>
        <w:t>Revue trimestrielle de droit européen</w:t>
      </w:r>
      <w:r>
        <w:rPr>
          <w:rFonts w:cs="Times New Roman"/>
          <w:noProof/>
          <w:lang w:val="fr-FR"/>
        </w:rPr>
        <w:t xml:space="preserve"> </w:t>
      </w:r>
      <w:r>
        <w:rPr>
          <w:rFonts w:cs="Times New Roman"/>
          <w:noProof/>
          <w:lang w:val="fr-FR"/>
        </w:rPr>
        <w:t>(2012)</w:t>
      </w:r>
      <w:r>
        <w:rPr>
          <w:rFonts w:cs="Times New Roman"/>
          <w:noProof/>
          <w:lang w:val="fr-FR"/>
        </w:rPr>
        <w:t>, p. 93.</w:t>
      </w:r>
    </w:p>
  </w:footnote>
  <w:footnote w:id="22">
    <w:p w14:paraId="3E37CB00" w14:textId="7427B388" w:rsidR="005E3788" w:rsidRPr="00B74D0E" w:rsidRDefault="00B74D0E">
      <w:pPr>
        <w:pStyle w:val="Voetnoottekst"/>
        <w:rPr>
          <w:rFonts w:cs="Times New Roman"/>
          <w:lang w:val="fr-FR"/>
        </w:rPr>
      </w:pPr>
      <w:r>
        <w:rPr>
          <w:rStyle w:val="Voetnootmarkering"/>
          <w:rFonts w:cs="Times New Roman"/>
        </w:rPr>
        <w:footnoteRef/>
      </w:r>
      <w:r w:rsidRPr="00B74D0E">
        <w:rPr>
          <w:rFonts w:cs="Times New Roman"/>
          <w:lang w:val="fr-FR"/>
        </w:rPr>
        <w:t xml:space="preserve"> See </w:t>
      </w:r>
      <w:r w:rsidRPr="00B74D0E">
        <w:rPr>
          <w:lang w:val="fr-FR"/>
        </w:rPr>
        <w:t>P. Craig</w:t>
      </w:r>
      <w:r>
        <w:rPr>
          <w:rFonts w:cs="Times New Roman"/>
          <w:noProof/>
          <w:lang w:val="fr-FR"/>
        </w:rPr>
        <w:t xml:space="preserve">, 36 </w:t>
      </w:r>
      <w:r>
        <w:rPr>
          <w:rFonts w:cs="Times New Roman"/>
          <w:i/>
          <w:noProof/>
          <w:lang w:val="fr-FR"/>
        </w:rPr>
        <w:t>European Law Review</w:t>
      </w:r>
      <w:r>
        <w:rPr>
          <w:rFonts w:cs="Times New Roman"/>
          <w:noProof/>
          <w:lang w:val="fr-FR"/>
        </w:rPr>
        <w:t xml:space="preserve"> (2011), p. 672-674; </w:t>
      </w:r>
      <w:r w:rsidRPr="00B74D0E">
        <w:rPr>
          <w:rFonts w:cs="Times New Roman"/>
          <w:noProof/>
          <w:lang w:val="fr-FR"/>
        </w:rPr>
        <w:t>D. Bianchi</w:t>
      </w:r>
      <w:r>
        <w:rPr>
          <w:rFonts w:cs="Times New Roman"/>
          <w:noProof/>
          <w:lang w:val="fr-FR"/>
        </w:rPr>
        <w:t xml:space="preserve">, 48 </w:t>
      </w:r>
      <w:r>
        <w:rPr>
          <w:rFonts w:cs="Times New Roman"/>
          <w:i/>
          <w:noProof/>
          <w:lang w:val="fr-FR"/>
        </w:rPr>
        <w:t>Revue trimestrielle de droit européen</w:t>
      </w:r>
      <w:r>
        <w:rPr>
          <w:rFonts w:cs="Times New Roman"/>
          <w:noProof/>
          <w:lang w:val="fr-FR"/>
        </w:rPr>
        <w:t xml:space="preserve"> (2012), p. 93</w:t>
      </w:r>
      <w:r w:rsidRPr="00B74D0E">
        <w:rPr>
          <w:rFonts w:cs="Times New Roman"/>
          <w:lang w:val="fr-FR"/>
        </w:rPr>
        <w:t xml:space="preserve">; </w:t>
      </w:r>
      <w:r w:rsidRPr="00B74D0E">
        <w:rPr>
          <w:lang w:val="fr-FR"/>
        </w:rPr>
        <w:t>Z</w:t>
      </w:r>
      <w:r w:rsidRPr="00B74D0E">
        <w:rPr>
          <w:lang w:val="fr-FR"/>
        </w:rPr>
        <w:t>.</w:t>
      </w:r>
      <w:r w:rsidRPr="00B74D0E">
        <w:rPr>
          <w:lang w:val="fr-FR"/>
        </w:rPr>
        <w:t xml:space="preserve"> </w:t>
      </w:r>
      <w:r w:rsidRPr="00B74D0E">
        <w:rPr>
          <w:lang w:val="fr-FR"/>
        </w:rPr>
        <w:t>Xhaferri</w:t>
      </w:r>
      <w:r w:rsidRPr="00B74D0E">
        <w:rPr>
          <w:rFonts w:cs="Times New Roman"/>
          <w:lang w:val="fr-FR"/>
        </w:rPr>
        <w:t xml:space="preserve">, </w:t>
      </w:r>
      <w:r w:rsidRPr="00B74D0E">
        <w:rPr>
          <w:rFonts w:cs="Times New Roman"/>
          <w:lang w:val="fr-FR"/>
        </w:rPr>
        <w:t xml:space="preserve">20 </w:t>
      </w:r>
      <w:r w:rsidRPr="00B74D0E">
        <w:rPr>
          <w:rFonts w:cs="Times New Roman"/>
          <w:i/>
          <w:lang w:val="fr-FR"/>
        </w:rPr>
        <w:t>Maastricht Journal of European and Comparative Law</w:t>
      </w:r>
      <w:r w:rsidRPr="00B74D0E">
        <w:rPr>
          <w:rFonts w:cs="Times New Roman"/>
          <w:lang w:val="fr-FR"/>
        </w:rPr>
        <w:t xml:space="preserve"> </w:t>
      </w:r>
      <w:r w:rsidRPr="00B74D0E">
        <w:rPr>
          <w:rFonts w:cs="Times New Roman"/>
          <w:lang w:val="fr-FR"/>
        </w:rPr>
        <w:t>(2013)</w:t>
      </w:r>
      <w:r w:rsidRPr="00B74D0E">
        <w:rPr>
          <w:rFonts w:cs="Times New Roman"/>
          <w:lang w:val="fr-FR"/>
        </w:rPr>
        <w:t xml:space="preserve">, </w:t>
      </w:r>
      <w:r w:rsidRPr="00B74D0E">
        <w:rPr>
          <w:rFonts w:cs="Times New Roman"/>
          <w:lang w:val="fr-FR"/>
        </w:rPr>
        <w:t>p. 563-564.</w:t>
      </w:r>
    </w:p>
  </w:footnote>
  <w:footnote w:id="23">
    <w:p w14:paraId="7D739E61" w14:textId="3CDE1AF0"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Case C-286/14</w:t>
      </w:r>
      <w:r>
        <w:rPr>
          <w:rFonts w:cs="Times New Roman"/>
          <w:lang w:val="en-GB"/>
        </w:rPr>
        <w:t xml:space="preserve"> </w:t>
      </w:r>
      <w:r>
        <w:rPr>
          <w:rFonts w:cs="Times New Roman"/>
          <w:i/>
          <w:lang w:val="en-GB"/>
        </w:rPr>
        <w:t xml:space="preserve">Parliament v. </w:t>
      </w:r>
      <w:r>
        <w:rPr>
          <w:rFonts w:cs="Times New Roman"/>
          <w:i/>
          <w:lang w:val="en-GB"/>
        </w:rPr>
        <w:t>Commission</w:t>
      </w:r>
      <w:r>
        <w:rPr>
          <w:rFonts w:cs="Times New Roman"/>
          <w:lang w:val="en-GB"/>
        </w:rPr>
        <w:t xml:space="preserve">, </w:t>
      </w:r>
      <w:r>
        <w:rPr>
          <w:rFonts w:cs="Times New Roman"/>
          <w:lang w:val="en-GB"/>
        </w:rPr>
        <w:t>EU:C:2016:183. While the Court was right to distinguish the two, it is doubtful whether the distinction is anything more than a legal nicety, since, materially, there does not seem to be anything which a supplementing delegated act could n</w:t>
      </w:r>
      <w:r>
        <w:rPr>
          <w:rFonts w:cs="Times New Roman"/>
          <w:lang w:val="en-GB"/>
        </w:rPr>
        <w:t xml:space="preserve">ot introduce which an amending delegated act could (the exception being the introduction of provisions which contravene provisions of the basic legislative act). The </w:t>
      </w:r>
      <w:r>
        <w:rPr>
          <w:rFonts w:cs="Times New Roman"/>
          <w:lang w:val="en-GB"/>
        </w:rPr>
        <w:t xml:space="preserve">CJEU’s </w:t>
      </w:r>
      <w:r>
        <w:rPr>
          <w:rFonts w:cs="Times New Roman"/>
          <w:lang w:val="en-GB"/>
        </w:rPr>
        <w:t xml:space="preserve">distinction between amending and supplementing in </w:t>
      </w:r>
      <w:r>
        <w:rPr>
          <w:rFonts w:cs="Times New Roman"/>
          <w:i/>
          <w:lang w:val="en-GB"/>
        </w:rPr>
        <w:t>Connecting Europe Facilit</w:t>
      </w:r>
      <w:r>
        <w:rPr>
          <w:rFonts w:cs="Times New Roman"/>
          <w:i/>
          <w:lang w:val="en-GB"/>
        </w:rPr>
        <w:t>y</w:t>
      </w:r>
      <w:r>
        <w:rPr>
          <w:rFonts w:cs="Times New Roman"/>
          <w:lang w:val="en-GB"/>
        </w:rPr>
        <w:t xml:space="preserve"> also sits uneasily with its broad (non-formal) definition of ‘amending’ in </w:t>
      </w:r>
      <w:r>
        <w:rPr>
          <w:rFonts w:cs="Times New Roman"/>
          <w:i/>
          <w:lang w:val="en-GB"/>
        </w:rPr>
        <w:t>Visa Reciprocity</w:t>
      </w:r>
      <w:r>
        <w:rPr>
          <w:rFonts w:cs="Times New Roman"/>
          <w:lang w:val="en-GB"/>
        </w:rPr>
        <w:t>. See Case C-88/14</w:t>
      </w:r>
      <w:r>
        <w:rPr>
          <w:rFonts w:cs="Times New Roman"/>
          <w:lang w:val="en-GB"/>
        </w:rPr>
        <w:t xml:space="preserve"> </w:t>
      </w:r>
      <w:r>
        <w:rPr>
          <w:rFonts w:cs="Times New Roman"/>
          <w:i/>
          <w:lang w:val="en-GB"/>
        </w:rPr>
        <w:t>Commission v. Parliament and Council</w:t>
      </w:r>
      <w:r>
        <w:rPr>
          <w:rFonts w:cs="Times New Roman"/>
          <w:lang w:val="en-GB"/>
        </w:rPr>
        <w:t xml:space="preserve">, </w:t>
      </w:r>
      <w:r>
        <w:rPr>
          <w:rFonts w:cs="Times New Roman"/>
          <w:lang w:val="en-GB"/>
        </w:rPr>
        <w:t>EU:C:2015:499, para</w:t>
      </w:r>
      <w:r>
        <w:rPr>
          <w:rFonts w:cs="Times New Roman"/>
          <w:lang w:val="en-GB"/>
        </w:rPr>
        <w:t>.</w:t>
      </w:r>
      <w:r>
        <w:rPr>
          <w:rFonts w:cs="Times New Roman"/>
          <w:lang w:val="en-GB"/>
        </w:rPr>
        <w:t xml:space="preserve"> 42-</w:t>
      </w:r>
      <w:r>
        <w:rPr>
          <w:rFonts w:cs="Times New Roman"/>
          <w:lang w:val="en-GB"/>
        </w:rPr>
        <w:t>4</w:t>
      </w:r>
      <w:r>
        <w:rPr>
          <w:rFonts w:cs="Times New Roman"/>
          <w:lang w:val="en-GB"/>
        </w:rPr>
        <w:t xml:space="preserve">3. For a discussion of this case, See </w:t>
      </w:r>
      <w:r w:rsidRPr="00B74D0E">
        <w:rPr>
          <w:lang w:val="en-GB"/>
        </w:rPr>
        <w:t>M</w:t>
      </w:r>
      <w:r w:rsidRPr="00B74D0E">
        <w:rPr>
          <w:lang w:val="en-GB"/>
        </w:rPr>
        <w:t>.</w:t>
      </w:r>
      <w:r w:rsidRPr="00B74D0E">
        <w:rPr>
          <w:lang w:val="en-GB"/>
        </w:rPr>
        <w:t xml:space="preserve"> Chamon</w:t>
      </w:r>
      <w:r>
        <w:rPr>
          <w:rFonts w:cs="Times New Roman"/>
          <w:lang w:val="en-GB"/>
        </w:rPr>
        <w:t>, ‘The dividing line b</w:t>
      </w:r>
      <w:r>
        <w:rPr>
          <w:rFonts w:cs="Times New Roman"/>
          <w:lang w:val="en-GB"/>
        </w:rPr>
        <w:t xml:space="preserve">etween delegated and implementing acts, part two: The Court of Justice settles the issue in Commission v. Parliament and Council (Visa reciprocity)’, </w:t>
      </w:r>
      <w:r>
        <w:rPr>
          <w:rFonts w:cs="Times New Roman"/>
          <w:lang w:val="en-GB"/>
        </w:rPr>
        <w:t xml:space="preserve">52 </w:t>
      </w:r>
      <w:r>
        <w:rPr>
          <w:rFonts w:cs="Times New Roman"/>
          <w:i/>
          <w:lang w:val="en-GB"/>
        </w:rPr>
        <w:t>Common Market Law Review</w:t>
      </w:r>
      <w:r>
        <w:rPr>
          <w:rFonts w:cs="Times New Roman"/>
          <w:lang w:val="en-GB"/>
        </w:rPr>
        <w:t xml:space="preserve"> </w:t>
      </w:r>
      <w:r>
        <w:rPr>
          <w:rFonts w:cs="Times New Roman"/>
          <w:lang w:val="en-GB"/>
        </w:rPr>
        <w:t>(2015)</w:t>
      </w:r>
      <w:r>
        <w:rPr>
          <w:rFonts w:cs="Times New Roman"/>
          <w:lang w:val="en-GB"/>
        </w:rPr>
        <w:t xml:space="preserve">, </w:t>
      </w:r>
      <w:r>
        <w:rPr>
          <w:rFonts w:cs="Times New Roman"/>
          <w:lang w:val="en-GB"/>
        </w:rPr>
        <w:t>p. 1617-1634. These cases show that depending on how one unde</w:t>
      </w:r>
      <w:r>
        <w:rPr>
          <w:rFonts w:cs="Times New Roman"/>
          <w:lang w:val="en-GB"/>
        </w:rPr>
        <w:t xml:space="preserve">rstands ‘amending’, i.e. in a formal or a substantive sense, there may (not) be an overlap between ‘amending’ and ‘supplementing’. Only if it is understood in a substantive sense can the overlap referred to by Xhaferri exist, see </w:t>
      </w:r>
      <w:r w:rsidRPr="00B74D0E">
        <w:rPr>
          <w:lang w:val="en-GB"/>
        </w:rPr>
        <w:t>Z</w:t>
      </w:r>
      <w:r w:rsidRPr="00B74D0E">
        <w:rPr>
          <w:lang w:val="en-GB"/>
        </w:rPr>
        <w:t>.</w:t>
      </w:r>
      <w:r w:rsidRPr="00B74D0E">
        <w:rPr>
          <w:lang w:val="en-GB"/>
        </w:rPr>
        <w:t xml:space="preserve"> Xhaferri</w:t>
      </w:r>
      <w:r>
        <w:rPr>
          <w:rFonts w:cs="Times New Roman"/>
          <w:lang w:val="en-GB"/>
        </w:rPr>
        <w:t xml:space="preserve">, </w:t>
      </w:r>
      <w:r>
        <w:rPr>
          <w:rFonts w:cs="Times New Roman"/>
          <w:lang w:val="en-GB"/>
        </w:rPr>
        <w:t xml:space="preserve">20 </w:t>
      </w:r>
      <w:r>
        <w:rPr>
          <w:rFonts w:cs="Times New Roman"/>
          <w:i/>
          <w:lang w:val="en-GB"/>
        </w:rPr>
        <w:t>Maastricht Journal of European and Comparative Law</w:t>
      </w:r>
      <w:r>
        <w:rPr>
          <w:rFonts w:cs="Times New Roman"/>
          <w:lang w:val="en-GB"/>
        </w:rPr>
        <w:t xml:space="preserve"> </w:t>
      </w:r>
      <w:r>
        <w:rPr>
          <w:rFonts w:cs="Times New Roman"/>
          <w:lang w:val="en-GB"/>
        </w:rPr>
        <w:t>(2013)</w:t>
      </w:r>
      <w:r>
        <w:rPr>
          <w:rFonts w:cs="Times New Roman"/>
          <w:lang w:val="en-GB"/>
        </w:rPr>
        <w:t>, p. 563.</w:t>
      </w:r>
    </w:p>
  </w:footnote>
  <w:footnote w:id="24">
    <w:p w14:paraId="578FF835" w14:textId="049C48D9"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w:t>
      </w:r>
      <w:r w:rsidRPr="00B74D0E">
        <w:rPr>
          <w:lang w:val="en-GB"/>
        </w:rPr>
        <w:t>G</w:t>
      </w:r>
      <w:r w:rsidRPr="00B74D0E">
        <w:rPr>
          <w:lang w:val="en-GB"/>
        </w:rPr>
        <w:t xml:space="preserve">. </w:t>
      </w:r>
      <w:r w:rsidRPr="00B74D0E">
        <w:rPr>
          <w:lang w:val="en-GB"/>
        </w:rPr>
        <w:t>Schusterschitz and S</w:t>
      </w:r>
      <w:r w:rsidRPr="00B74D0E">
        <w:rPr>
          <w:lang w:val="en-GB"/>
        </w:rPr>
        <w:t>.</w:t>
      </w:r>
      <w:r w:rsidRPr="00B74D0E">
        <w:rPr>
          <w:lang w:val="en-GB"/>
        </w:rPr>
        <w:t xml:space="preserve"> Kotz</w:t>
      </w:r>
      <w:r>
        <w:rPr>
          <w:rFonts w:cs="Times New Roman"/>
          <w:noProof/>
          <w:lang w:val="en-GB"/>
        </w:rPr>
        <w:t xml:space="preserve">, 'The Comitology Reform of 2006: Increasing the Powers of the European Parliament Without Changing the Treaties', </w:t>
      </w:r>
      <w:r>
        <w:rPr>
          <w:rFonts w:cs="Times New Roman"/>
          <w:noProof/>
          <w:lang w:val="en-GB"/>
        </w:rPr>
        <w:t xml:space="preserve">3 </w:t>
      </w:r>
      <w:r>
        <w:rPr>
          <w:rFonts w:cs="Times New Roman"/>
          <w:i/>
          <w:noProof/>
          <w:lang w:val="en-GB"/>
        </w:rPr>
        <w:t xml:space="preserve">European </w:t>
      </w:r>
      <w:r>
        <w:rPr>
          <w:rFonts w:cs="Times New Roman"/>
          <w:i/>
          <w:noProof/>
          <w:lang w:val="en-GB"/>
        </w:rPr>
        <w:t>Constitutional Law Review</w:t>
      </w:r>
      <w:r>
        <w:rPr>
          <w:rFonts w:cs="Times New Roman"/>
          <w:noProof/>
          <w:lang w:val="en-GB"/>
        </w:rPr>
        <w:t xml:space="preserve"> </w:t>
      </w:r>
      <w:r>
        <w:rPr>
          <w:rFonts w:cs="Times New Roman"/>
          <w:noProof/>
          <w:lang w:val="en-GB"/>
        </w:rPr>
        <w:t>(2007)</w:t>
      </w:r>
      <w:r>
        <w:rPr>
          <w:rFonts w:cs="Times New Roman"/>
          <w:noProof/>
          <w:lang w:val="en-GB"/>
        </w:rPr>
        <w:t xml:space="preserve">, p. 81. This of course raises the question of what should exactly be understood by the notion of quasi-legislative measures. This question is not only relevant in distinguishing Articles 290 and 291 TFEU, since the notion </w:t>
      </w:r>
      <w:r>
        <w:rPr>
          <w:rFonts w:cs="Times New Roman"/>
          <w:noProof/>
          <w:lang w:val="en-GB"/>
        </w:rPr>
        <w:t>has also recently been relied on by Lenaerts to distinguish the executive acts which only the Commission may adopt from the acts which the decentrali</w:t>
      </w:r>
      <w:r>
        <w:rPr>
          <w:rFonts w:cs="Times New Roman"/>
          <w:noProof/>
          <w:lang w:val="en-GB"/>
        </w:rPr>
        <w:t>z</w:t>
      </w:r>
      <w:r>
        <w:rPr>
          <w:rFonts w:cs="Times New Roman"/>
          <w:noProof/>
          <w:lang w:val="en-GB"/>
        </w:rPr>
        <w:t xml:space="preserve">ed agencies may adopt. See </w:t>
      </w:r>
      <w:r w:rsidRPr="00B74D0E">
        <w:rPr>
          <w:lang w:val="en-GB"/>
        </w:rPr>
        <w:t>K</w:t>
      </w:r>
      <w:r w:rsidRPr="00B74D0E">
        <w:rPr>
          <w:lang w:val="en-GB"/>
        </w:rPr>
        <w:t>.</w:t>
      </w:r>
      <w:r w:rsidRPr="00B74D0E">
        <w:rPr>
          <w:lang w:val="en-GB"/>
        </w:rPr>
        <w:t xml:space="preserve"> Lenaerts</w:t>
      </w:r>
      <w:r>
        <w:rPr>
          <w:rFonts w:cs="Times New Roman"/>
          <w:noProof/>
          <w:lang w:val="en-GB"/>
        </w:rPr>
        <w:t xml:space="preserve">, ‘EMU and the EU's constitutional framework’, </w:t>
      </w:r>
      <w:r>
        <w:rPr>
          <w:rFonts w:cs="Times New Roman"/>
          <w:noProof/>
          <w:lang w:val="en-GB"/>
        </w:rPr>
        <w:t xml:space="preserve">39 </w:t>
      </w:r>
      <w:r>
        <w:rPr>
          <w:rFonts w:cs="Times New Roman"/>
          <w:i/>
          <w:noProof/>
          <w:lang w:val="en-GB"/>
        </w:rPr>
        <w:t>Europea</w:t>
      </w:r>
      <w:r>
        <w:rPr>
          <w:rFonts w:cs="Times New Roman"/>
          <w:i/>
          <w:noProof/>
          <w:lang w:val="en-GB"/>
        </w:rPr>
        <w:t>n Law Review</w:t>
      </w:r>
      <w:r>
        <w:rPr>
          <w:rFonts w:cs="Times New Roman"/>
          <w:noProof/>
          <w:lang w:val="en-GB"/>
        </w:rPr>
        <w:t xml:space="preserve"> </w:t>
      </w:r>
      <w:r>
        <w:rPr>
          <w:rFonts w:cs="Times New Roman"/>
          <w:noProof/>
          <w:lang w:val="en-GB"/>
        </w:rPr>
        <w:t>(2014)</w:t>
      </w:r>
      <w:r>
        <w:rPr>
          <w:rFonts w:cs="Times New Roman"/>
          <w:noProof/>
          <w:lang w:val="en-GB"/>
        </w:rPr>
        <w:t>, p. 762.</w:t>
      </w:r>
    </w:p>
  </w:footnote>
  <w:footnote w:id="25">
    <w:p w14:paraId="4931E497" w14:textId="5514C3F8" w:rsidR="005E3788" w:rsidRDefault="00B74D0E">
      <w:pPr>
        <w:pStyle w:val="Voetnoottekst"/>
        <w:rPr>
          <w:rFonts w:cs="Times New Roman"/>
          <w:lang w:val="fr-FR"/>
        </w:rPr>
      </w:pPr>
      <w:r>
        <w:rPr>
          <w:rStyle w:val="Voetnootmarkering"/>
          <w:rFonts w:cs="Times New Roman"/>
        </w:rPr>
        <w:footnoteRef/>
      </w:r>
      <w:r>
        <w:rPr>
          <w:rFonts w:cs="Times New Roman"/>
        </w:rPr>
        <w:t xml:space="preserve"> </w:t>
      </w:r>
      <w:r w:rsidRPr="00B74D0E">
        <w:t>M</w:t>
      </w:r>
      <w:r w:rsidRPr="00B74D0E">
        <w:t xml:space="preserve">. </w:t>
      </w:r>
      <w:r w:rsidRPr="00B74D0E">
        <w:t>van der Plas</w:t>
      </w:r>
      <w:r>
        <w:rPr>
          <w:rFonts w:cs="Times New Roman"/>
          <w:noProof/>
        </w:rPr>
        <w:t xml:space="preserve">, 'Rol Europees Parlement fors toegenomen door nieuw Comitologiebesluit', </w:t>
      </w:r>
      <w:r>
        <w:rPr>
          <w:rFonts w:cs="Times New Roman"/>
          <w:noProof/>
        </w:rPr>
        <w:t xml:space="preserve">54 </w:t>
      </w:r>
      <w:r>
        <w:rPr>
          <w:rFonts w:cs="Times New Roman"/>
          <w:i/>
          <w:noProof/>
        </w:rPr>
        <w:t>Tijdschrift voor Europees en economisch recht</w:t>
      </w:r>
      <w:r>
        <w:rPr>
          <w:rFonts w:cs="Times New Roman"/>
          <w:noProof/>
        </w:rPr>
        <w:t xml:space="preserve"> </w:t>
      </w:r>
      <w:r>
        <w:rPr>
          <w:rFonts w:cs="Times New Roman"/>
          <w:noProof/>
        </w:rPr>
        <w:t>(2006)</w:t>
      </w:r>
      <w:r>
        <w:rPr>
          <w:rFonts w:cs="Times New Roman"/>
          <w:noProof/>
        </w:rPr>
        <w:t xml:space="preserve">, p. 413. </w:t>
      </w:r>
      <w:r w:rsidRPr="00B74D0E">
        <w:rPr>
          <w:rFonts w:cs="Times New Roman"/>
          <w:noProof/>
          <w:lang w:val="fr-FR"/>
        </w:rPr>
        <w:t xml:space="preserve">Discussing the different interpretations of ‘quasi-legislative’ measures, see </w:t>
      </w:r>
      <w:r w:rsidRPr="00B74D0E">
        <w:rPr>
          <w:rFonts w:cs="Times New Roman"/>
          <w:noProof/>
          <w:lang w:val="fr-FR"/>
        </w:rPr>
        <w:t>M</w:t>
      </w:r>
      <w:r w:rsidRPr="00B74D0E">
        <w:rPr>
          <w:rFonts w:cs="Times New Roman"/>
          <w:noProof/>
          <w:lang w:val="fr-FR"/>
        </w:rPr>
        <w:t>.</w:t>
      </w:r>
      <w:r w:rsidRPr="00B74D0E">
        <w:rPr>
          <w:rFonts w:cs="Times New Roman"/>
          <w:noProof/>
          <w:lang w:val="fr-FR"/>
        </w:rPr>
        <w:t xml:space="preserve"> </w:t>
      </w:r>
      <w:r w:rsidRPr="00B74D0E">
        <w:rPr>
          <w:rFonts w:cs="Times New Roman"/>
          <w:noProof/>
          <w:lang w:val="fr-FR"/>
        </w:rPr>
        <w:t>Szapiro</w:t>
      </w:r>
      <w:r>
        <w:rPr>
          <w:rFonts w:cs="Times New Roman"/>
          <w:noProof/>
          <w:lang w:val="fr-FR"/>
        </w:rPr>
        <w:t xml:space="preserve">, ‘Comitologie : rétrospective et prospective après la réforme de 2006’, </w:t>
      </w:r>
      <w:r>
        <w:rPr>
          <w:rFonts w:cs="Times New Roman"/>
          <w:i/>
          <w:noProof/>
          <w:lang w:val="fr-FR"/>
        </w:rPr>
        <w:t>Revue du Droit de l’Union européenne</w:t>
      </w:r>
      <w:r>
        <w:rPr>
          <w:rFonts w:cs="Times New Roman"/>
          <w:noProof/>
          <w:lang w:val="fr-FR"/>
        </w:rPr>
        <w:t xml:space="preserve"> </w:t>
      </w:r>
      <w:r>
        <w:rPr>
          <w:rFonts w:cs="Times New Roman"/>
          <w:noProof/>
          <w:lang w:val="fr-FR"/>
        </w:rPr>
        <w:t>(2006)</w:t>
      </w:r>
      <w:r>
        <w:rPr>
          <w:rFonts w:cs="Times New Roman"/>
          <w:noProof/>
          <w:lang w:val="fr-FR"/>
        </w:rPr>
        <w:t xml:space="preserve">, </w:t>
      </w:r>
      <w:r>
        <w:rPr>
          <w:rFonts w:cs="Times New Roman"/>
          <w:noProof/>
          <w:lang w:val="fr-FR"/>
        </w:rPr>
        <w:t>p. 571-</w:t>
      </w:r>
      <w:r>
        <w:rPr>
          <w:rFonts w:cs="Times New Roman"/>
          <w:noProof/>
          <w:lang w:val="fr-FR"/>
        </w:rPr>
        <w:t>5</w:t>
      </w:r>
      <w:r>
        <w:rPr>
          <w:rFonts w:cs="Times New Roman"/>
          <w:noProof/>
          <w:lang w:val="fr-FR"/>
        </w:rPr>
        <w:t>74.</w:t>
      </w:r>
    </w:p>
  </w:footnote>
  <w:footnote w:id="26">
    <w:p w14:paraId="1A1B5ECF" w14:textId="2BB64A72" w:rsidR="005E3788" w:rsidRDefault="00B74D0E">
      <w:pPr>
        <w:pStyle w:val="Voetnoottekst"/>
        <w:rPr>
          <w:rFonts w:cs="Times New Roman"/>
        </w:rPr>
      </w:pPr>
      <w:r>
        <w:rPr>
          <w:rStyle w:val="Voetnootmarkering"/>
          <w:rFonts w:cs="Times New Roman"/>
        </w:rPr>
        <w:footnoteRef/>
      </w:r>
      <w:r>
        <w:rPr>
          <w:rFonts w:cs="Times New Roman"/>
        </w:rPr>
        <w:t xml:space="preserve"> </w:t>
      </w:r>
      <w:r w:rsidRPr="00B74D0E">
        <w:t>M</w:t>
      </w:r>
      <w:r w:rsidRPr="00B74D0E">
        <w:t>.</w:t>
      </w:r>
      <w:r w:rsidRPr="00B74D0E">
        <w:t xml:space="preserve"> van der Plas</w:t>
      </w:r>
      <w:r>
        <w:rPr>
          <w:rFonts w:cs="Times New Roman"/>
          <w:noProof/>
        </w:rPr>
        <w:t xml:space="preserve">, </w:t>
      </w:r>
      <w:r>
        <w:rPr>
          <w:rFonts w:cs="Times New Roman"/>
          <w:noProof/>
        </w:rPr>
        <w:t xml:space="preserve"> 54 </w:t>
      </w:r>
      <w:r>
        <w:rPr>
          <w:rFonts w:cs="Times New Roman"/>
          <w:i/>
          <w:noProof/>
        </w:rPr>
        <w:t>Tijdschrift voor Europees en economisch recht</w:t>
      </w:r>
      <w:r>
        <w:rPr>
          <w:rFonts w:cs="Times New Roman"/>
          <w:noProof/>
        </w:rPr>
        <w:t xml:space="preserve"> </w:t>
      </w:r>
      <w:r>
        <w:rPr>
          <w:rFonts w:cs="Times New Roman"/>
          <w:noProof/>
        </w:rPr>
        <w:t>(2006)</w:t>
      </w:r>
      <w:r>
        <w:rPr>
          <w:rFonts w:cs="Times New Roman"/>
          <w:noProof/>
        </w:rPr>
        <w:t xml:space="preserve">, p. 414. </w:t>
      </w:r>
    </w:p>
  </w:footnote>
  <w:footnote w:id="27">
    <w:p w14:paraId="2710D888" w14:textId="0B52C438"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Council Legal Service, Opinion on the amended proposal for a Council Decision amending Decision 1999/468/EC laying down the procedures for the exercise of implementing</w:t>
      </w:r>
      <w:r>
        <w:rPr>
          <w:rFonts w:cs="Times New Roman"/>
          <w:lang w:val="en-GB"/>
        </w:rPr>
        <w:t xml:space="preserve"> powers conferred on the Commission (9087/04), 5923/06, </w:t>
      </w:r>
      <w:r>
        <w:rPr>
          <w:rFonts w:cs="Times New Roman"/>
          <w:lang w:val="en-GB"/>
        </w:rPr>
        <w:t>p. 12-13.</w:t>
      </w:r>
    </w:p>
  </w:footnote>
  <w:footnote w:id="28">
    <w:p w14:paraId="4C4FAF20" w14:textId="77777777"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The French notion of ‘</w:t>
      </w:r>
      <w:r>
        <w:rPr>
          <w:rFonts w:cs="Times New Roman"/>
          <w:i/>
          <w:lang w:val="en-GB"/>
        </w:rPr>
        <w:t>mettre en œuvre</w:t>
      </w:r>
      <w:r>
        <w:rPr>
          <w:rFonts w:cs="Times New Roman"/>
          <w:lang w:val="en-GB"/>
        </w:rPr>
        <w:t>’ better conveys this meaning than the English notion of ‘implementation’. Compare for instance para. 30 of the English and French language versions o</w:t>
      </w:r>
      <w:r>
        <w:rPr>
          <w:rFonts w:cs="Times New Roman"/>
          <w:lang w:val="en-GB"/>
        </w:rPr>
        <w:t>f the Council Legal Service Opinion 5923/06.</w:t>
      </w:r>
    </w:p>
  </w:footnote>
  <w:footnote w:id="29">
    <w:p w14:paraId="27FE30AC" w14:textId="4EFADCEF"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Case C-443/05 P</w:t>
      </w:r>
      <w:r>
        <w:rPr>
          <w:rFonts w:cs="Times New Roman"/>
          <w:lang w:val="en-GB"/>
        </w:rPr>
        <w:t xml:space="preserve"> </w:t>
      </w:r>
      <w:r>
        <w:rPr>
          <w:rFonts w:cs="Times New Roman"/>
          <w:i/>
          <w:lang w:val="en-GB"/>
        </w:rPr>
        <w:t>Common Market Fertilizers SA v. Commission</w:t>
      </w:r>
      <w:r>
        <w:rPr>
          <w:rFonts w:cs="Times New Roman"/>
          <w:lang w:val="en-GB"/>
        </w:rPr>
        <w:t xml:space="preserve">, </w:t>
      </w:r>
      <w:r>
        <w:rPr>
          <w:rFonts w:cs="Times New Roman"/>
          <w:lang w:val="en-GB"/>
        </w:rPr>
        <w:t>EU:C:2007:511.</w:t>
      </w:r>
    </w:p>
  </w:footnote>
  <w:footnote w:id="30">
    <w:p w14:paraId="5D9E0C5A" w14:textId="08FA9698"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Article 2</w:t>
      </w:r>
      <w:r>
        <w:rPr>
          <w:rFonts w:cs="Times New Roman"/>
          <w:lang w:val="en-GB"/>
        </w:rPr>
        <w:t>(1)</w:t>
      </w:r>
      <w:r>
        <w:rPr>
          <w:rFonts w:cs="Times New Roman"/>
          <w:lang w:val="en-GB"/>
        </w:rPr>
        <w:t>(</w:t>
      </w:r>
      <w:r>
        <w:rPr>
          <w:rFonts w:cs="Times New Roman"/>
          <w:lang w:val="en-GB"/>
        </w:rPr>
        <w:t>b</w:t>
      </w:r>
      <w:r>
        <w:rPr>
          <w:rFonts w:cs="Times New Roman"/>
          <w:lang w:val="en-GB"/>
        </w:rPr>
        <w:t>)</w:t>
      </w:r>
      <w:r>
        <w:rPr>
          <w:rFonts w:cs="Times New Roman"/>
          <w:lang w:val="en-GB"/>
        </w:rPr>
        <w:t xml:space="preserve"> of Decision 468/1999.</w:t>
      </w:r>
    </w:p>
  </w:footnote>
  <w:footnote w:id="31">
    <w:p w14:paraId="134CB8AE" w14:textId="53C2CD24" w:rsidR="005E3788" w:rsidRPr="00B74D0E" w:rsidRDefault="00B74D0E">
      <w:pPr>
        <w:pStyle w:val="Voetnoottekst"/>
        <w:rPr>
          <w:rFonts w:cs="Times New Roman"/>
          <w:lang w:val="de-DE"/>
        </w:rPr>
      </w:pPr>
      <w:r>
        <w:rPr>
          <w:rStyle w:val="Voetnootmarkering"/>
          <w:rFonts w:cs="Times New Roman"/>
        </w:rPr>
        <w:footnoteRef/>
      </w:r>
      <w:r w:rsidRPr="00B74D0E">
        <w:rPr>
          <w:rFonts w:cs="Times New Roman"/>
          <w:lang w:val="de-DE"/>
        </w:rPr>
        <w:t xml:space="preserve"> Case C-443/05 P</w:t>
      </w:r>
      <w:r w:rsidRPr="00B74D0E">
        <w:rPr>
          <w:rFonts w:cs="Times New Roman"/>
          <w:lang w:val="de-DE"/>
        </w:rPr>
        <w:t xml:space="preserve"> </w:t>
      </w:r>
      <w:r w:rsidRPr="00B74D0E">
        <w:rPr>
          <w:rFonts w:cs="Times New Roman"/>
          <w:i/>
          <w:lang w:val="de-DE"/>
        </w:rPr>
        <w:t>Common Market Fertilizers SA v. Commission</w:t>
      </w:r>
      <w:r w:rsidRPr="00B74D0E">
        <w:rPr>
          <w:rFonts w:cs="Times New Roman"/>
          <w:lang w:val="de-DE"/>
        </w:rPr>
        <w:t xml:space="preserve">, </w:t>
      </w:r>
      <w:r w:rsidRPr="00B74D0E">
        <w:rPr>
          <w:rFonts w:cs="Times New Roman"/>
          <w:lang w:val="de-DE"/>
        </w:rPr>
        <w:t>para</w:t>
      </w:r>
      <w:r w:rsidRPr="00B74D0E">
        <w:rPr>
          <w:rFonts w:cs="Times New Roman"/>
          <w:lang w:val="de-DE"/>
        </w:rPr>
        <w:t>.</w:t>
      </w:r>
      <w:r w:rsidRPr="00B74D0E">
        <w:rPr>
          <w:rFonts w:cs="Times New Roman"/>
          <w:lang w:val="de-DE"/>
        </w:rPr>
        <w:t xml:space="preserve"> 125</w:t>
      </w:r>
      <w:r w:rsidRPr="00B74D0E">
        <w:rPr>
          <w:rFonts w:cs="Times New Roman"/>
          <w:lang w:val="de-DE"/>
        </w:rPr>
        <w:t>,</w:t>
      </w:r>
      <w:r w:rsidRPr="00B74D0E">
        <w:rPr>
          <w:rFonts w:cs="Times New Roman"/>
          <w:lang w:val="de-DE"/>
        </w:rPr>
        <w:t xml:space="preserve"> 134. </w:t>
      </w:r>
    </w:p>
  </w:footnote>
  <w:footnote w:id="32">
    <w:p w14:paraId="0155B8D7" w14:textId="3DE148A5" w:rsidR="005E3788" w:rsidRDefault="00B74D0E">
      <w:pPr>
        <w:pStyle w:val="Voetnoottekst"/>
        <w:rPr>
          <w:rFonts w:cs="Times New Roman"/>
          <w:lang w:val="en-GB"/>
        </w:rPr>
      </w:pPr>
      <w:r>
        <w:rPr>
          <w:rStyle w:val="Voetnootmarkering"/>
          <w:rFonts w:cs="Times New Roman"/>
        </w:rPr>
        <w:footnoteRef/>
      </w:r>
      <w:r w:rsidRPr="00B74D0E">
        <w:rPr>
          <w:rFonts w:cs="Times New Roman"/>
          <w:lang w:val="de-DE"/>
        </w:rPr>
        <w:t xml:space="preserve"> See </w:t>
      </w:r>
      <w:r w:rsidRPr="00B74D0E">
        <w:rPr>
          <w:lang w:val="de-DE"/>
        </w:rPr>
        <w:t>D</w:t>
      </w:r>
      <w:r w:rsidRPr="00B74D0E">
        <w:rPr>
          <w:lang w:val="de-DE"/>
        </w:rPr>
        <w:t>.</w:t>
      </w:r>
      <w:r w:rsidRPr="00B74D0E">
        <w:rPr>
          <w:lang w:val="de-DE"/>
        </w:rPr>
        <w:t xml:space="preserve"> </w:t>
      </w:r>
      <w:r w:rsidRPr="00B74D0E">
        <w:rPr>
          <w:lang w:val="de-DE"/>
        </w:rPr>
        <w:t>Kollmeyer</w:t>
      </w:r>
      <w:r>
        <w:rPr>
          <w:rFonts w:cs="Times New Roman"/>
          <w:noProof/>
          <w:lang w:val="de-DE"/>
        </w:rPr>
        <w:t xml:space="preserve">, </w:t>
      </w:r>
      <w:r>
        <w:rPr>
          <w:rFonts w:cs="Times New Roman"/>
          <w:i/>
          <w:noProof/>
          <w:lang w:val="de-DE"/>
        </w:rPr>
        <w:t>Delegierte Rechtsetzung in der EU - Eine Analyse der Art. 290 und 291 AEUV</w:t>
      </w:r>
      <w:r>
        <w:rPr>
          <w:rFonts w:cs="Times New Roman"/>
          <w:noProof/>
          <w:lang w:val="de-DE"/>
        </w:rPr>
        <w:t xml:space="preserve"> </w:t>
      </w:r>
      <w:r>
        <w:rPr>
          <w:rFonts w:cs="Times New Roman"/>
          <w:noProof/>
          <w:lang w:val="de-DE"/>
        </w:rPr>
        <w:t>(</w:t>
      </w:r>
      <w:r>
        <w:rPr>
          <w:rFonts w:cs="Times New Roman"/>
          <w:noProof/>
          <w:lang w:val="de-DE"/>
        </w:rPr>
        <w:t>Nomos, 2015</w:t>
      </w:r>
      <w:r>
        <w:rPr>
          <w:rFonts w:cs="Times New Roman"/>
          <w:noProof/>
          <w:lang w:val="de-DE"/>
        </w:rPr>
        <w:t>)</w:t>
      </w:r>
      <w:r>
        <w:rPr>
          <w:rFonts w:cs="Times New Roman"/>
          <w:noProof/>
          <w:lang w:val="de-DE"/>
        </w:rPr>
        <w:t xml:space="preserve">, </w:t>
      </w:r>
      <w:r>
        <w:rPr>
          <w:rFonts w:cs="Times New Roman"/>
          <w:noProof/>
          <w:lang w:val="de-DE"/>
        </w:rPr>
        <w:t xml:space="preserve">p. 317-318. </w:t>
      </w:r>
      <w:r>
        <w:rPr>
          <w:rFonts w:cs="Times New Roman"/>
          <w:noProof/>
          <w:lang w:val="en-GB"/>
        </w:rPr>
        <w:t xml:space="preserve">In addition, Kollmeyer notes that the Court might not have taken issue with this because the procedure which the Commission had laid down </w:t>
      </w:r>
      <w:r>
        <w:rPr>
          <w:rFonts w:cs="Times New Roman"/>
          <w:i/>
          <w:noProof/>
          <w:lang w:val="en-GB"/>
        </w:rPr>
        <w:t>de facto</w:t>
      </w:r>
      <w:r>
        <w:rPr>
          <w:rFonts w:cs="Times New Roman"/>
          <w:noProof/>
          <w:lang w:val="en-GB"/>
        </w:rPr>
        <w:t xml:space="preserve"> came down to the comitology advisory procedure (without being formally indicated as such).</w:t>
      </w:r>
    </w:p>
  </w:footnote>
  <w:footnote w:id="33">
    <w:p w14:paraId="50A0CA79" w14:textId="511E0FE9"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the statemen</w:t>
      </w:r>
      <w:r>
        <w:rPr>
          <w:rFonts w:cs="Times New Roman"/>
          <w:lang w:val="en-GB"/>
        </w:rPr>
        <w:t xml:space="preserve">ts by the Commission annexed to the comitology regulation, </w:t>
      </w:r>
      <w:r>
        <w:rPr>
          <w:rFonts w:cs="Times New Roman"/>
          <w:lang w:val="en-GB"/>
        </w:rPr>
        <w:t xml:space="preserve">[2011] </w:t>
      </w:r>
      <w:r>
        <w:rPr>
          <w:rFonts w:cs="Times New Roman"/>
          <w:lang w:val="en-GB"/>
        </w:rPr>
        <w:t>O</w:t>
      </w:r>
      <w:r>
        <w:rPr>
          <w:rFonts w:cs="Times New Roman"/>
          <w:lang w:val="en-GB"/>
        </w:rPr>
        <w:t>J</w:t>
      </w:r>
      <w:r>
        <w:rPr>
          <w:rFonts w:cs="Times New Roman"/>
          <w:lang w:val="en-GB"/>
        </w:rPr>
        <w:t xml:space="preserve"> </w:t>
      </w:r>
      <w:r>
        <w:rPr>
          <w:rFonts w:cs="Times New Roman"/>
          <w:lang w:val="en-GB"/>
        </w:rPr>
        <w:t xml:space="preserve">L 55/19. </w:t>
      </w:r>
    </w:p>
  </w:footnote>
  <w:footnote w:id="34">
    <w:p w14:paraId="438470E7" w14:textId="7EDD63CB"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COM</w:t>
      </w:r>
      <w:r>
        <w:rPr>
          <w:rFonts w:cs="Times New Roman"/>
          <w:lang w:val="en-GB"/>
        </w:rPr>
        <w:t>(2013) 451 final</w:t>
      </w:r>
      <w:r>
        <w:rPr>
          <w:rFonts w:cs="Times New Roman"/>
          <w:lang w:val="en-GB"/>
        </w:rPr>
        <w:t>;</w:t>
      </w:r>
      <w:r>
        <w:rPr>
          <w:rFonts w:cs="Times New Roman"/>
          <w:lang w:val="en-GB"/>
        </w:rPr>
        <w:t xml:space="preserve"> COM</w:t>
      </w:r>
      <w:r>
        <w:rPr>
          <w:rFonts w:cs="Times New Roman"/>
          <w:lang w:val="en-GB"/>
        </w:rPr>
        <w:t>(2013) 452 final</w:t>
      </w:r>
      <w:r>
        <w:rPr>
          <w:rFonts w:cs="Times New Roman"/>
          <w:lang w:val="en-GB"/>
        </w:rPr>
        <w:t>;</w:t>
      </w:r>
      <w:r>
        <w:rPr>
          <w:rFonts w:cs="Times New Roman"/>
          <w:lang w:val="en-GB"/>
        </w:rPr>
        <w:t xml:space="preserve"> and COM</w:t>
      </w:r>
      <w:r>
        <w:rPr>
          <w:rFonts w:cs="Times New Roman"/>
          <w:lang w:val="en-GB"/>
        </w:rPr>
        <w:t xml:space="preserve">(2013) 751 final. See also </w:t>
      </w:r>
      <w:r w:rsidRPr="00B74D0E">
        <w:rPr>
          <w:lang w:val="en-GB"/>
        </w:rPr>
        <w:t>M</w:t>
      </w:r>
      <w:r w:rsidRPr="00B74D0E">
        <w:rPr>
          <w:lang w:val="en-GB"/>
        </w:rPr>
        <w:t>.</w:t>
      </w:r>
      <w:r w:rsidRPr="00B74D0E">
        <w:rPr>
          <w:lang w:val="en-GB"/>
        </w:rPr>
        <w:t xml:space="preserve"> Chamon</w:t>
      </w:r>
      <w:r>
        <w:rPr>
          <w:rFonts w:cs="Times New Roman"/>
          <w:noProof/>
          <w:lang w:val="en-GB"/>
        </w:rPr>
        <w:t xml:space="preserve">, </w:t>
      </w:r>
      <w:r>
        <w:rPr>
          <w:rFonts w:cs="Times New Roman"/>
          <w:noProof/>
          <w:lang w:val="en-GB"/>
        </w:rPr>
        <w:t>‘</w:t>
      </w:r>
      <w:r>
        <w:rPr>
          <w:rFonts w:cs="Times New Roman"/>
          <w:noProof/>
          <w:lang w:val="en-GB"/>
        </w:rPr>
        <w:t xml:space="preserve">Clarifying the divide between Delegated and Implementing Acts? Case C-427/12, European Commission v. European Parliament and Council of the European </w:t>
      </w:r>
      <w:r>
        <w:rPr>
          <w:rFonts w:cs="Times New Roman"/>
          <w:noProof/>
          <w:lang w:val="en-GB"/>
        </w:rPr>
        <w:t>Union’</w:t>
      </w:r>
      <w:r>
        <w:rPr>
          <w:rFonts w:cs="Times New Roman"/>
          <w:noProof/>
          <w:lang w:val="en-GB"/>
        </w:rPr>
        <w:t xml:space="preserve">, </w:t>
      </w:r>
      <w:r>
        <w:rPr>
          <w:rFonts w:cs="Times New Roman"/>
          <w:noProof/>
          <w:lang w:val="en-GB"/>
        </w:rPr>
        <w:t xml:space="preserve">42 </w:t>
      </w:r>
      <w:r>
        <w:rPr>
          <w:rFonts w:cs="Times New Roman"/>
          <w:i/>
          <w:noProof/>
          <w:lang w:val="en-GB"/>
        </w:rPr>
        <w:t>Legal Issues of Economic Integration</w:t>
      </w:r>
      <w:r>
        <w:rPr>
          <w:rFonts w:cs="Times New Roman"/>
          <w:noProof/>
          <w:lang w:val="en-GB"/>
        </w:rPr>
        <w:t xml:space="preserve"> </w:t>
      </w:r>
      <w:r>
        <w:rPr>
          <w:rFonts w:cs="Times New Roman"/>
          <w:noProof/>
          <w:lang w:val="en-GB"/>
        </w:rPr>
        <w:t>(2015)</w:t>
      </w:r>
      <w:r>
        <w:rPr>
          <w:rFonts w:cs="Times New Roman"/>
          <w:noProof/>
          <w:lang w:val="en-GB"/>
        </w:rPr>
        <w:t xml:space="preserve">, </w:t>
      </w:r>
      <w:r>
        <w:rPr>
          <w:rFonts w:cs="Times New Roman"/>
          <w:noProof/>
          <w:lang w:val="en-GB"/>
        </w:rPr>
        <w:t>p. 177-178.</w:t>
      </w:r>
    </w:p>
  </w:footnote>
  <w:footnote w:id="35">
    <w:p w14:paraId="4AEC3744" w14:textId="0E4A56BD"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Annex II to the Co</w:t>
      </w:r>
      <w:r>
        <w:rPr>
          <w:rFonts w:cs="Times New Roman"/>
          <w:lang w:val="en-GB"/>
        </w:rPr>
        <w:t xml:space="preserve">mmission Work Programme 2015, </w:t>
      </w:r>
      <w:r>
        <w:rPr>
          <w:rFonts w:cs="Times New Roman"/>
          <w:lang w:val="en-GB"/>
        </w:rPr>
        <w:t>p. 11-12.</w:t>
      </w:r>
    </w:p>
  </w:footnote>
  <w:footnote w:id="36">
    <w:p w14:paraId="63111460" w14:textId="54C1387D"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para. 21a of the Provisional text of the proposed interinstitutional agreement on </w:t>
      </w:r>
      <w:r>
        <w:rPr>
          <w:rFonts w:cs="Times New Roman"/>
          <w:lang w:val="en-GB"/>
        </w:rPr>
        <w:t>B</w:t>
      </w:r>
      <w:r>
        <w:rPr>
          <w:rFonts w:cs="Times New Roman"/>
          <w:lang w:val="en-GB"/>
        </w:rPr>
        <w:t xml:space="preserve">etter </w:t>
      </w:r>
      <w:r>
        <w:rPr>
          <w:rFonts w:cs="Times New Roman"/>
          <w:lang w:val="en-GB"/>
        </w:rPr>
        <w:t>R</w:t>
      </w:r>
      <w:r>
        <w:rPr>
          <w:rFonts w:cs="Times New Roman"/>
          <w:lang w:val="en-GB"/>
        </w:rPr>
        <w:t>egulation, p. 8.</w:t>
      </w:r>
    </w:p>
  </w:footnote>
  <w:footnote w:id="37">
    <w:p w14:paraId="21479D90" w14:textId="2055BAF1"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w:t>
      </w:r>
      <w:r>
        <w:rPr>
          <w:rFonts w:cs="Times New Roman"/>
          <w:lang w:val="en-GB"/>
        </w:rPr>
        <w:t>T</w:t>
      </w:r>
      <w:r>
        <w:rPr>
          <w:rFonts w:cs="Times New Roman"/>
          <w:lang w:val="en-GB"/>
        </w:rPr>
        <w:t>able IV in the Commission’s report on the working of Committees in 2014, COM</w:t>
      </w:r>
      <w:r>
        <w:rPr>
          <w:rFonts w:cs="Times New Roman"/>
          <w:lang w:val="en-GB"/>
        </w:rPr>
        <w:t>(2015) 418 fina</w:t>
      </w:r>
      <w:r>
        <w:rPr>
          <w:rFonts w:cs="Times New Roman"/>
          <w:lang w:val="en-GB"/>
        </w:rPr>
        <w:t>l, p. 7.</w:t>
      </w:r>
    </w:p>
  </w:footnote>
  <w:footnote w:id="38">
    <w:p w14:paraId="53746C5C" w14:textId="6D4952A0" w:rsidR="005E3788" w:rsidRPr="00B74D0E" w:rsidRDefault="00B74D0E">
      <w:pPr>
        <w:pStyle w:val="Voetnoottekst"/>
        <w:rPr>
          <w:rFonts w:cs="Times New Roman"/>
          <w:lang w:val="fr-FR"/>
        </w:rPr>
      </w:pPr>
      <w:r>
        <w:rPr>
          <w:rStyle w:val="Voetnootmarkering"/>
          <w:rFonts w:cs="Times New Roman"/>
        </w:rPr>
        <w:footnoteRef/>
      </w:r>
      <w:r>
        <w:rPr>
          <w:rFonts w:cs="Times New Roman"/>
          <w:lang w:val="en-GB"/>
        </w:rPr>
        <w:t xml:space="preserve"> Comparing the PRAC to Articles 290 and 291 TFEU, one would assume that the delegated act’s field of application minimally encompasses all PRAC measures (without being restricted thereto) since both are used when non-essential elements of legisla</w:t>
      </w:r>
      <w:r>
        <w:rPr>
          <w:rFonts w:cs="Times New Roman"/>
          <w:lang w:val="en-GB"/>
        </w:rPr>
        <w:t xml:space="preserve">tive acts are amended or supplemented (see also </w:t>
      </w:r>
      <w:r>
        <w:rPr>
          <w:rFonts w:cs="Times New Roman"/>
          <w:lang w:val="en-GB"/>
        </w:rPr>
        <w:t xml:space="preserve">footnote </w:t>
      </w:r>
      <w:r>
        <w:rPr>
          <w:rFonts w:cs="Times New Roman"/>
          <w:lang w:val="en-GB"/>
        </w:rPr>
        <w:fldChar w:fldCharType="begin"/>
      </w:r>
      <w:r>
        <w:rPr>
          <w:rFonts w:cs="Times New Roman"/>
          <w:lang w:val="en-GB"/>
        </w:rPr>
        <w:instrText xml:space="preserve"> NOTEREF _Ref447540143 \h  \* MERGEFORMAT </w:instrText>
      </w:r>
      <w:r>
        <w:rPr>
          <w:rFonts w:cs="Times New Roman"/>
          <w:lang w:val="en-GB"/>
        </w:rPr>
      </w:r>
      <w:r>
        <w:rPr>
          <w:rFonts w:cs="Times New Roman"/>
          <w:lang w:val="en-GB"/>
        </w:rPr>
        <w:fldChar w:fldCharType="separate"/>
      </w:r>
      <w:r w:rsidR="00F70358">
        <w:rPr>
          <w:rFonts w:cs="Times New Roman"/>
          <w:lang w:val="en-GB"/>
        </w:rPr>
        <w:t>1</w:t>
      </w:r>
      <w:r>
        <w:rPr>
          <w:rFonts w:cs="Times New Roman"/>
          <w:lang w:val="en-GB"/>
        </w:rPr>
        <w:fldChar w:fldCharType="end"/>
      </w:r>
      <w:r>
        <w:rPr>
          <w:rFonts w:cs="Times New Roman"/>
          <w:lang w:val="en-GB"/>
        </w:rPr>
        <w:t xml:space="preserve"> above</w:t>
      </w:r>
      <w:r>
        <w:rPr>
          <w:rFonts w:cs="Times New Roman"/>
          <w:lang w:val="en-GB"/>
        </w:rPr>
        <w:t>). This was also advocated by the Commission and Parliament. See European Co</w:t>
      </w:r>
      <w:r>
        <w:rPr>
          <w:rFonts w:cs="Times New Roman"/>
          <w:lang w:val="en-GB"/>
        </w:rPr>
        <w:t>mmission, COM</w:t>
      </w:r>
      <w:r>
        <w:rPr>
          <w:rFonts w:cs="Times New Roman"/>
          <w:lang w:val="en-GB"/>
        </w:rPr>
        <w:t xml:space="preserve">(2009) 673 final, p. 3; European Parliament, Resolution on the power of legislative delegation of 5 May 2010, </w:t>
      </w:r>
      <w:r>
        <w:rPr>
          <w:rFonts w:cs="Times New Roman"/>
          <w:lang w:val="en-GB"/>
        </w:rPr>
        <w:t xml:space="preserve">[2011] </w:t>
      </w:r>
      <w:r>
        <w:rPr>
          <w:rFonts w:cs="Times New Roman"/>
          <w:lang w:val="en-GB"/>
        </w:rPr>
        <w:t>O</w:t>
      </w:r>
      <w:r>
        <w:rPr>
          <w:rFonts w:cs="Times New Roman"/>
          <w:lang w:val="en-GB"/>
        </w:rPr>
        <w:t>J</w:t>
      </w:r>
      <w:r>
        <w:rPr>
          <w:rFonts w:cs="Times New Roman"/>
          <w:lang w:val="en-GB"/>
        </w:rPr>
        <w:t xml:space="preserve"> C 81E/6, para. 18. However, in one of its three 2013 proposals to align the PRAC to Articles 290 and 291 TFEU, the Commission included a list of legislative acts referencing to the PRAC which ought to be amended with reference</w:t>
      </w:r>
      <w:r>
        <w:rPr>
          <w:rFonts w:cs="Times New Roman"/>
          <w:lang w:val="en-GB"/>
        </w:rPr>
        <w:t xml:space="preserve"> to the comitology examinati</w:t>
      </w:r>
      <w:r>
        <w:rPr>
          <w:rFonts w:cs="Times New Roman"/>
          <w:lang w:val="en-GB"/>
        </w:rPr>
        <w:t xml:space="preserve">on procedure foreseen in the comitology regulation. </w:t>
      </w:r>
      <w:r w:rsidRPr="00B74D0E">
        <w:rPr>
          <w:rFonts w:cs="Times New Roman"/>
          <w:lang w:val="fr-FR"/>
        </w:rPr>
        <w:t>See Annex II of COM</w:t>
      </w:r>
      <w:r w:rsidRPr="00B74D0E">
        <w:rPr>
          <w:rFonts w:cs="Times New Roman"/>
          <w:lang w:val="fr-FR"/>
        </w:rPr>
        <w:t>(2013) 751 final.</w:t>
      </w:r>
    </w:p>
  </w:footnote>
  <w:footnote w:id="39">
    <w:p w14:paraId="346DF777" w14:textId="4FD1F2EC" w:rsidR="005E3788" w:rsidRDefault="00B74D0E">
      <w:pPr>
        <w:pStyle w:val="Voetnoottekst"/>
        <w:rPr>
          <w:rFonts w:cs="Times New Roman"/>
          <w:lang w:val="fr-FR"/>
        </w:rPr>
      </w:pPr>
      <w:r>
        <w:rPr>
          <w:rStyle w:val="Voetnootmarkering"/>
          <w:rFonts w:cs="Times New Roman"/>
        </w:rPr>
        <w:footnoteRef/>
      </w:r>
      <w:r w:rsidRPr="00B74D0E">
        <w:rPr>
          <w:rFonts w:cs="Times New Roman"/>
          <w:lang w:val="fr-FR"/>
        </w:rPr>
        <w:t xml:space="preserve"> For a discussion, see i</w:t>
      </w:r>
      <w:r w:rsidRPr="00B74D0E">
        <w:rPr>
          <w:rFonts w:cs="Times New Roman"/>
          <w:lang w:val="fr-FR"/>
        </w:rPr>
        <w:t xml:space="preserve">nter </w:t>
      </w:r>
      <w:r w:rsidRPr="00B74D0E">
        <w:rPr>
          <w:rFonts w:cs="Times New Roman"/>
          <w:lang w:val="fr-FR"/>
        </w:rPr>
        <w:t>a</w:t>
      </w:r>
      <w:r w:rsidRPr="00B74D0E">
        <w:rPr>
          <w:rFonts w:cs="Times New Roman"/>
          <w:lang w:val="fr-FR"/>
        </w:rPr>
        <w:t>lia</w:t>
      </w:r>
      <w:r w:rsidRPr="00B74D0E">
        <w:rPr>
          <w:lang w:val="fr-FR"/>
        </w:rPr>
        <w:t>,</w:t>
      </w:r>
      <w:r w:rsidRPr="00B74D0E">
        <w:rPr>
          <w:lang w:val="fr-FR"/>
        </w:rPr>
        <w:t xml:space="preserve"> </w:t>
      </w:r>
      <w:r w:rsidRPr="00B74D0E">
        <w:rPr>
          <w:lang w:val="fr-FR"/>
        </w:rPr>
        <w:t>C</w:t>
      </w:r>
      <w:r w:rsidRPr="00B74D0E">
        <w:rPr>
          <w:lang w:val="fr-FR"/>
        </w:rPr>
        <w:t>.</w:t>
      </w:r>
      <w:r w:rsidRPr="00B74D0E">
        <w:rPr>
          <w:lang w:val="fr-FR"/>
        </w:rPr>
        <w:t xml:space="preserve"> </w:t>
      </w:r>
      <w:r w:rsidRPr="00B74D0E">
        <w:rPr>
          <w:lang w:val="fr-FR"/>
        </w:rPr>
        <w:t>Blumann</w:t>
      </w:r>
      <w:r>
        <w:rPr>
          <w:rFonts w:cs="Times New Roman"/>
          <w:noProof/>
          <w:lang w:val="fr-FR"/>
        </w:rPr>
        <w:t xml:space="preserve">, 'À la frontière de la fonction législative et de la fonction exécutive: les 'nouveaux' actes délégués', in </w:t>
      </w:r>
      <w:r>
        <w:rPr>
          <w:rFonts w:cs="Times New Roman"/>
          <w:noProof/>
          <w:lang w:val="fr-FR"/>
        </w:rPr>
        <w:t xml:space="preserve">G. </w:t>
      </w:r>
      <w:r>
        <w:rPr>
          <w:rFonts w:cs="Times New Roman"/>
          <w:noProof/>
          <w:lang w:val="fr-FR"/>
        </w:rPr>
        <w:t>C</w:t>
      </w:r>
      <w:r>
        <w:rPr>
          <w:rFonts w:cs="Times New Roman"/>
          <w:noProof/>
          <w:lang w:val="fr-FR"/>
        </w:rPr>
        <w:t>ohen-Jonathan</w:t>
      </w:r>
      <w:r>
        <w:rPr>
          <w:rFonts w:cs="Times New Roman"/>
          <w:noProof/>
          <w:lang w:val="fr-FR"/>
        </w:rPr>
        <w:t xml:space="preserve"> et al.</w:t>
      </w:r>
      <w:r>
        <w:rPr>
          <w:rFonts w:cs="Times New Roman"/>
          <w:noProof/>
          <w:lang w:val="fr-FR"/>
        </w:rPr>
        <w:t xml:space="preserve"> (eds.), </w:t>
      </w:r>
      <w:r>
        <w:rPr>
          <w:rFonts w:cs="Times New Roman"/>
          <w:i/>
          <w:noProof/>
          <w:lang w:val="fr-FR"/>
        </w:rPr>
        <w:t>Chemins d'Eu</w:t>
      </w:r>
      <w:bookmarkStart w:id="4" w:name="_GoBack"/>
      <w:bookmarkEnd w:id="4"/>
      <w:r>
        <w:rPr>
          <w:rFonts w:cs="Times New Roman"/>
          <w:i/>
          <w:noProof/>
          <w:lang w:val="fr-FR"/>
        </w:rPr>
        <w:t>rope: Mélanges en l'honneur de Jean Paul Jacqué</w:t>
      </w:r>
      <w:r>
        <w:rPr>
          <w:rFonts w:cs="Times New Roman"/>
          <w:noProof/>
          <w:lang w:val="fr-FR"/>
        </w:rPr>
        <w:t xml:space="preserve"> </w:t>
      </w:r>
      <w:r>
        <w:rPr>
          <w:rFonts w:cs="Times New Roman"/>
          <w:noProof/>
          <w:lang w:val="fr-FR"/>
        </w:rPr>
        <w:t>(</w:t>
      </w:r>
      <w:r>
        <w:rPr>
          <w:rFonts w:cs="Times New Roman"/>
          <w:noProof/>
          <w:lang w:val="fr-FR"/>
        </w:rPr>
        <w:t>Dalloz, 2010</w:t>
      </w:r>
      <w:r>
        <w:rPr>
          <w:rFonts w:cs="Times New Roman"/>
          <w:noProof/>
          <w:lang w:val="fr-FR"/>
        </w:rPr>
        <w:t>)</w:t>
      </w:r>
      <w:r>
        <w:rPr>
          <w:rFonts w:cs="Times New Roman"/>
          <w:noProof/>
          <w:lang w:val="fr-FR"/>
        </w:rPr>
        <w:t xml:space="preserve">, </w:t>
      </w:r>
      <w:r>
        <w:rPr>
          <w:rFonts w:cs="Times New Roman"/>
          <w:noProof/>
          <w:lang w:val="fr-FR"/>
        </w:rPr>
        <w:t>p. 140-144.</w:t>
      </w:r>
    </w:p>
  </w:footnote>
  <w:footnote w:id="40">
    <w:p w14:paraId="79BB553C" w14:textId="77777777" w:rsidR="00297C74" w:rsidRPr="00B74D0E" w:rsidRDefault="00297C74">
      <w:pPr>
        <w:pStyle w:val="Voetnoottekst"/>
        <w:rPr>
          <w:lang w:val="en-GB"/>
        </w:rPr>
      </w:pPr>
      <w:r>
        <w:rPr>
          <w:rStyle w:val="Voetnootmarkering"/>
        </w:rPr>
        <w:footnoteRef/>
      </w:r>
      <w:r w:rsidRPr="00B74D0E">
        <w:rPr>
          <w:lang w:val="en-GB"/>
        </w:rPr>
        <w:t xml:space="preserve"> </w:t>
      </w:r>
      <w:r w:rsidR="00F70358">
        <w:rPr>
          <w:lang w:val="en-GB"/>
        </w:rPr>
        <w:t>Note however that the 2016 Common Understanding (between the political institutions) on delegated acts has re-introduced a de facto advisory comitology procedure for the adoption of delegated acts. See point 4 of the Common Understanding, annexed to the Interinstitutional Agreement on Better Law-Making, [2016] OJ L 123/1.</w:t>
      </w:r>
    </w:p>
  </w:footnote>
  <w:footnote w:id="41">
    <w:p w14:paraId="22C1EA2A" w14:textId="44611EF3" w:rsidR="005E3788" w:rsidRDefault="00B74D0E">
      <w:pPr>
        <w:pStyle w:val="Voetnoottekst"/>
        <w:rPr>
          <w:rFonts w:cs="Times New Roman"/>
          <w:lang w:val="en-US"/>
        </w:rPr>
      </w:pPr>
      <w:r>
        <w:rPr>
          <w:rStyle w:val="Voetnootmarkering"/>
          <w:rFonts w:cs="Times New Roman"/>
        </w:rPr>
        <w:footnoteRef/>
      </w:r>
      <w:r>
        <w:rPr>
          <w:rFonts w:cs="Times New Roman"/>
          <w:lang w:val="en-US"/>
        </w:rPr>
        <w:t xml:space="preserve"> Obviously, Article 291</w:t>
      </w:r>
      <w:r>
        <w:rPr>
          <w:rFonts w:cs="Times New Roman"/>
          <w:lang w:val="en-US"/>
        </w:rPr>
        <w:t xml:space="preserve">(2) TFEU still allows the Council to adopt implementing acts </w:t>
      </w:r>
      <w:r>
        <w:rPr>
          <w:rFonts w:cs="Times New Roman"/>
          <w:lang w:val="en-US"/>
        </w:rPr>
        <w:t>‘in duly justified specific cases’, but these acts are never subjected to the procedures laid down in the comitology regulation.</w:t>
      </w:r>
    </w:p>
  </w:footnote>
  <w:footnote w:id="42">
    <w:p w14:paraId="04412168" w14:textId="3EDED85F"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Own calculations based on the numbers provided in the Commission’s annual comitology reports, see COM</w:t>
      </w:r>
      <w:r>
        <w:rPr>
          <w:rFonts w:cs="Times New Roman"/>
          <w:lang w:val="en-GB"/>
        </w:rPr>
        <w:t>(2011) 879 final, p. 6;</w:t>
      </w:r>
      <w:r>
        <w:rPr>
          <w:rFonts w:cs="Times New Roman"/>
          <w:lang w:val="en-GB"/>
        </w:rPr>
        <w:t xml:space="preserve"> COM</w:t>
      </w:r>
      <w:r>
        <w:rPr>
          <w:rFonts w:cs="Times New Roman"/>
          <w:lang w:val="en-GB"/>
        </w:rPr>
        <w:t>(2012) 685 final, p. 9; COM</w:t>
      </w:r>
      <w:r>
        <w:rPr>
          <w:rFonts w:cs="Times New Roman"/>
          <w:lang w:val="en-GB"/>
        </w:rPr>
        <w:t>(2013) 701 final, p. 7; COM</w:t>
      </w:r>
      <w:r>
        <w:rPr>
          <w:rFonts w:cs="Times New Roman"/>
          <w:lang w:val="en-GB"/>
        </w:rPr>
        <w:t>(2014) 572 final, p. 9; COM</w:t>
      </w:r>
      <w:r>
        <w:rPr>
          <w:rFonts w:cs="Times New Roman"/>
          <w:lang w:val="en-GB"/>
        </w:rPr>
        <w:t>(2015) 418 final, p. 8.</w:t>
      </w:r>
    </w:p>
  </w:footnote>
  <w:footnote w:id="43">
    <w:p w14:paraId="51AB4595" w14:textId="093F738A"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w:t>
      </w:r>
      <w:r w:rsidRPr="00B74D0E">
        <w:rPr>
          <w:rFonts w:cs="Times New Roman"/>
          <w:lang w:val="en-GB"/>
        </w:rPr>
        <w:t>Ibid</w:t>
      </w:r>
      <w:r>
        <w:rPr>
          <w:rFonts w:cs="Times New Roman"/>
          <w:lang w:val="en-GB"/>
        </w:rPr>
        <w:t xml:space="preserve">. Even when the Council </w:t>
      </w:r>
      <w:r>
        <w:rPr>
          <w:rFonts w:cs="Times New Roman"/>
          <w:lang w:val="en-GB"/>
        </w:rPr>
        <w:t xml:space="preserve">uses its </w:t>
      </w:r>
      <w:r>
        <w:rPr>
          <w:rFonts w:cs="Times New Roman"/>
          <w:lang w:val="en-GB"/>
        </w:rPr>
        <w:t>veto</w:t>
      </w:r>
      <w:r>
        <w:rPr>
          <w:rFonts w:cs="Times New Roman"/>
          <w:lang w:val="en-GB"/>
        </w:rPr>
        <w:t>, it does not necessarily have good political or legal reasons to do so. This is illustrated by th</w:t>
      </w:r>
      <w:r>
        <w:rPr>
          <w:rFonts w:cs="Times New Roman"/>
          <w:lang w:val="en-GB"/>
        </w:rPr>
        <w:t>e Council’s veto to a proposed amendment of Commission Regulation 282/2008. To identify the procedure to be used to grant certain authori</w:t>
      </w:r>
      <w:r>
        <w:rPr>
          <w:rFonts w:cs="Times New Roman"/>
          <w:lang w:val="en-GB"/>
        </w:rPr>
        <w:t>z</w:t>
      </w:r>
      <w:r>
        <w:rPr>
          <w:rFonts w:cs="Times New Roman"/>
          <w:lang w:val="en-GB"/>
        </w:rPr>
        <w:t xml:space="preserve">ations, this Regulation originally referred back to one of the </w:t>
      </w:r>
      <w:r>
        <w:rPr>
          <w:rFonts w:cs="Times New Roman"/>
          <w:lang w:val="en-GB"/>
        </w:rPr>
        <w:t>a</w:t>
      </w:r>
      <w:r>
        <w:rPr>
          <w:rFonts w:cs="Times New Roman"/>
          <w:lang w:val="en-GB"/>
        </w:rPr>
        <w:t xml:space="preserve">rticles of its own basic regulation (which referred </w:t>
      </w:r>
      <w:r>
        <w:rPr>
          <w:rFonts w:cs="Times New Roman"/>
          <w:lang w:val="en-GB"/>
        </w:rPr>
        <w:t xml:space="preserve">to a procedure in the comitology decision), instead of referring directly to the comitology decision. The </w:t>
      </w:r>
      <w:r>
        <w:rPr>
          <w:rFonts w:cs="Times New Roman"/>
          <w:lang w:val="en-GB"/>
        </w:rPr>
        <w:t>a</w:t>
      </w:r>
      <w:r>
        <w:rPr>
          <w:rFonts w:cs="Times New Roman"/>
          <w:lang w:val="en-GB"/>
        </w:rPr>
        <w:t>rticle of the basic regulation thereby originally referred to the regulatory comitology procedure but following an amendment in 2009 this was change</w:t>
      </w:r>
      <w:r>
        <w:rPr>
          <w:rFonts w:cs="Times New Roman"/>
          <w:lang w:val="en-GB"/>
        </w:rPr>
        <w:t>d into a reference to the PRAC, which had unintended consequences for the authori</w:t>
      </w:r>
      <w:r>
        <w:rPr>
          <w:rFonts w:cs="Times New Roman"/>
          <w:lang w:val="en-GB"/>
        </w:rPr>
        <w:t>z</w:t>
      </w:r>
      <w:r>
        <w:rPr>
          <w:rFonts w:cs="Times New Roman"/>
          <w:lang w:val="en-GB"/>
        </w:rPr>
        <w:t xml:space="preserve">ation procedure under Regulation 282/2008. The Commission thus proposed to rectify this, amending Regulation 282/2008 so that it would refer to another </w:t>
      </w:r>
      <w:r>
        <w:rPr>
          <w:rFonts w:cs="Times New Roman"/>
          <w:lang w:val="en-GB"/>
        </w:rPr>
        <w:t>a</w:t>
      </w:r>
      <w:r>
        <w:rPr>
          <w:rFonts w:cs="Times New Roman"/>
          <w:lang w:val="en-GB"/>
        </w:rPr>
        <w:t>rticle in the basic</w:t>
      </w:r>
      <w:r>
        <w:rPr>
          <w:rFonts w:cs="Times New Roman"/>
          <w:lang w:val="en-GB"/>
        </w:rPr>
        <w:t xml:space="preserve"> regulation which still referred to the regulatory comitology procedure (to be read as the examination comitology procedure following the entry into force of the comitology regulation). Regulation 282/2008 would therefore not itself have referred to the (a</w:t>
      </w:r>
      <w:r>
        <w:rPr>
          <w:rFonts w:cs="Times New Roman"/>
          <w:lang w:val="en-GB"/>
        </w:rPr>
        <w:t>bolished) regulatory comitology procedure, but the Council Legal Service ignored this and seemed to make no distinction between a Commission regulation referring to a basic legislative act which still refers to the abolished procedure and a Commission regu</w:t>
      </w:r>
      <w:r>
        <w:rPr>
          <w:rFonts w:cs="Times New Roman"/>
          <w:lang w:val="en-GB"/>
        </w:rPr>
        <w:t>lation referring directly to an abolished procedure. See Council, Doc. 14919/14. The Council followed its Legal Service and used its veto. See Council, Doc. 14975/14. The Commission later adopted an identical measure which referred directly to the new exam</w:t>
      </w:r>
      <w:r>
        <w:rPr>
          <w:rFonts w:cs="Times New Roman"/>
          <w:lang w:val="en-GB"/>
        </w:rPr>
        <w:t xml:space="preserve">ination procedure rather than indirectly to the old regulatory procedure (to be read as the examination procedure). See Commission Regulation (EU) 2015/1906, </w:t>
      </w:r>
      <w:r>
        <w:rPr>
          <w:rFonts w:cs="Times New Roman"/>
          <w:lang w:val="en-GB"/>
        </w:rPr>
        <w:t xml:space="preserve">[2005] </w:t>
      </w:r>
      <w:r>
        <w:rPr>
          <w:rFonts w:cs="Times New Roman"/>
          <w:lang w:val="en-GB"/>
        </w:rPr>
        <w:t>O</w:t>
      </w:r>
      <w:r>
        <w:rPr>
          <w:rFonts w:cs="Times New Roman"/>
          <w:lang w:val="en-GB"/>
        </w:rPr>
        <w:t>J</w:t>
      </w:r>
      <w:r>
        <w:rPr>
          <w:rFonts w:cs="Times New Roman"/>
          <w:lang w:val="en-GB"/>
        </w:rPr>
        <w:t xml:space="preserve"> L 278/11.</w:t>
      </w:r>
    </w:p>
  </w:footnote>
  <w:footnote w:id="44">
    <w:p w14:paraId="329944D0" w14:textId="012AED6B" w:rsidR="005E3788" w:rsidRDefault="00B74D0E">
      <w:pPr>
        <w:pStyle w:val="Voetnoottekst"/>
        <w:rPr>
          <w:rFonts w:cs="Times New Roman"/>
          <w:lang w:val="en-US"/>
        </w:rPr>
      </w:pPr>
      <w:r>
        <w:rPr>
          <w:rStyle w:val="Voetnootmarkering"/>
          <w:rFonts w:cs="Times New Roman"/>
        </w:rPr>
        <w:footnoteRef/>
      </w:r>
      <w:r>
        <w:rPr>
          <w:rFonts w:cs="Times New Roman"/>
          <w:lang w:val="en-US"/>
        </w:rPr>
        <w:t xml:space="preserve"> For the few exceptions during the reference period, see Council Direc</w:t>
      </w:r>
      <w:r>
        <w:rPr>
          <w:rFonts w:cs="Times New Roman"/>
          <w:lang w:val="en-US"/>
        </w:rPr>
        <w:t xml:space="preserve">tive (EU) 2015/652 </w:t>
      </w:r>
      <w:r>
        <w:rPr>
          <w:rFonts w:cs="Times New Roman"/>
          <w:lang w:val="en-US"/>
        </w:rPr>
        <w:t xml:space="preserve">on the </w:t>
      </w:r>
      <w:r>
        <w:rPr>
          <w:rFonts w:cs="Times New Roman"/>
          <w:lang w:val="en-US"/>
        </w:rPr>
        <w:t>quality of petrol and diesel fuels</w:t>
      </w:r>
      <w:r>
        <w:rPr>
          <w:rFonts w:cs="Times New Roman"/>
          <w:lang w:val="en-US"/>
        </w:rPr>
        <w:t>,</w:t>
      </w:r>
      <w:r>
        <w:rPr>
          <w:rFonts w:cs="Times New Roman"/>
          <w:lang w:val="en-US"/>
        </w:rPr>
        <w:t xml:space="preserve"> [2015]</w:t>
      </w:r>
      <w:r>
        <w:rPr>
          <w:rFonts w:cs="Times New Roman"/>
          <w:lang w:val="en-US"/>
        </w:rPr>
        <w:t xml:space="preserve"> O</w:t>
      </w:r>
      <w:r>
        <w:rPr>
          <w:rFonts w:cs="Times New Roman"/>
          <w:lang w:val="en-US"/>
        </w:rPr>
        <w:t>J</w:t>
      </w:r>
      <w:r>
        <w:rPr>
          <w:rFonts w:cs="Times New Roman"/>
          <w:lang w:val="en-US"/>
        </w:rPr>
        <w:t xml:space="preserve"> L 107/26; Council Directive (EU) 2011/97 </w:t>
      </w:r>
      <w:r>
        <w:rPr>
          <w:rFonts w:cs="Times New Roman"/>
          <w:lang w:val="en-US"/>
        </w:rPr>
        <w:t xml:space="preserve">on the </w:t>
      </w:r>
      <w:r>
        <w:rPr>
          <w:rFonts w:cs="Times New Roman"/>
          <w:lang w:val="en-US"/>
        </w:rPr>
        <w:t>storage of metallic mercury considered as waste</w:t>
      </w:r>
      <w:r>
        <w:rPr>
          <w:rFonts w:cs="Times New Roman"/>
          <w:lang w:val="en-US"/>
        </w:rPr>
        <w:t>,</w:t>
      </w:r>
      <w:r>
        <w:rPr>
          <w:rFonts w:cs="Times New Roman"/>
          <w:lang w:val="en-US"/>
        </w:rPr>
        <w:t xml:space="preserve"> [2011]</w:t>
      </w:r>
      <w:r>
        <w:rPr>
          <w:rFonts w:cs="Times New Roman"/>
          <w:lang w:val="en-US"/>
        </w:rPr>
        <w:t xml:space="preserve"> O</w:t>
      </w:r>
      <w:r>
        <w:rPr>
          <w:rFonts w:cs="Times New Roman"/>
          <w:lang w:val="en-US"/>
        </w:rPr>
        <w:t>J</w:t>
      </w:r>
      <w:r>
        <w:rPr>
          <w:rFonts w:cs="Times New Roman"/>
          <w:lang w:val="en-US"/>
        </w:rPr>
        <w:t xml:space="preserve"> </w:t>
      </w:r>
      <w:r>
        <w:rPr>
          <w:rFonts w:cs="Times New Roman"/>
          <w:lang w:val="en-US"/>
        </w:rPr>
        <w:t>L 328/49; Council Regulation (EU) No</w:t>
      </w:r>
      <w:r>
        <w:rPr>
          <w:rFonts w:cs="Times New Roman"/>
          <w:lang w:val="en-US"/>
        </w:rPr>
        <w:t>.</w:t>
      </w:r>
      <w:r>
        <w:rPr>
          <w:rFonts w:cs="Times New Roman"/>
          <w:lang w:val="en-US"/>
        </w:rPr>
        <w:t xml:space="preserve"> 333/2011 </w:t>
      </w:r>
      <w:r>
        <w:rPr>
          <w:rFonts w:cs="Times New Roman"/>
          <w:lang w:val="en-US"/>
        </w:rPr>
        <w:t xml:space="preserve">on </w:t>
      </w:r>
      <w:r>
        <w:rPr>
          <w:rFonts w:cs="Times New Roman"/>
          <w:lang w:val="en-US"/>
        </w:rPr>
        <w:t xml:space="preserve">certain </w:t>
      </w:r>
      <w:r>
        <w:rPr>
          <w:rFonts w:cs="Times New Roman"/>
          <w:lang w:val="en-US"/>
        </w:rPr>
        <w:t>types of scrap metal cease to be waste</w:t>
      </w:r>
      <w:r>
        <w:rPr>
          <w:rFonts w:cs="Times New Roman"/>
          <w:lang w:val="en-US"/>
        </w:rPr>
        <w:t xml:space="preserve">, </w:t>
      </w:r>
      <w:r>
        <w:rPr>
          <w:rFonts w:cs="Times New Roman"/>
          <w:lang w:val="en-US"/>
        </w:rPr>
        <w:t xml:space="preserve">[2011] </w:t>
      </w:r>
      <w:r>
        <w:rPr>
          <w:rFonts w:cs="Times New Roman"/>
          <w:lang w:val="en-US"/>
        </w:rPr>
        <w:t>O</w:t>
      </w:r>
      <w:r>
        <w:rPr>
          <w:rFonts w:cs="Times New Roman"/>
          <w:lang w:val="en-US"/>
        </w:rPr>
        <w:t>J</w:t>
      </w:r>
      <w:r>
        <w:rPr>
          <w:rFonts w:cs="Times New Roman"/>
          <w:lang w:val="en-US"/>
        </w:rPr>
        <w:t xml:space="preserve"> </w:t>
      </w:r>
      <w:r>
        <w:rPr>
          <w:rFonts w:cs="Times New Roman"/>
          <w:lang w:val="en-US"/>
        </w:rPr>
        <w:t xml:space="preserve">L 94/2; Council Decision (EU) 2010/252 </w:t>
      </w:r>
      <w:r>
        <w:rPr>
          <w:rFonts w:cs="Times New Roman"/>
          <w:lang w:val="en-US"/>
        </w:rPr>
        <w:t xml:space="preserve">on </w:t>
      </w:r>
      <w:r>
        <w:rPr>
          <w:rFonts w:cs="Times New Roman"/>
          <w:lang w:val="en-US"/>
        </w:rPr>
        <w:t>Frontex operations</w:t>
      </w:r>
      <w:r>
        <w:rPr>
          <w:rFonts w:cs="Times New Roman"/>
          <w:lang w:val="en-US"/>
        </w:rPr>
        <w:t>,</w:t>
      </w:r>
      <w:r>
        <w:rPr>
          <w:rFonts w:cs="Times New Roman"/>
          <w:lang w:val="en-US"/>
        </w:rPr>
        <w:t xml:space="preserve"> [2010]</w:t>
      </w:r>
      <w:r>
        <w:rPr>
          <w:rFonts w:cs="Times New Roman"/>
          <w:lang w:val="en-US"/>
        </w:rPr>
        <w:t xml:space="preserve"> O</w:t>
      </w:r>
      <w:r>
        <w:rPr>
          <w:rFonts w:cs="Times New Roman"/>
          <w:lang w:val="en-US"/>
        </w:rPr>
        <w:t>J</w:t>
      </w:r>
      <w:r>
        <w:rPr>
          <w:rFonts w:cs="Times New Roman"/>
          <w:lang w:val="en-US"/>
        </w:rPr>
        <w:t xml:space="preserve"> L 111/20. The latter decision was annulled by the Court in Case C-355/10</w:t>
      </w:r>
      <w:r>
        <w:rPr>
          <w:rFonts w:cs="Times New Roman"/>
          <w:lang w:val="en-US"/>
        </w:rPr>
        <w:t xml:space="preserve"> </w:t>
      </w:r>
      <w:r>
        <w:rPr>
          <w:rFonts w:cs="Times New Roman"/>
          <w:i/>
          <w:lang w:val="en-US"/>
        </w:rPr>
        <w:t>Parliament v. Council</w:t>
      </w:r>
      <w:r>
        <w:rPr>
          <w:rFonts w:cs="Times New Roman"/>
          <w:lang w:val="en-US"/>
        </w:rPr>
        <w:t xml:space="preserve">, </w:t>
      </w:r>
      <w:r>
        <w:rPr>
          <w:rFonts w:cs="Times New Roman"/>
          <w:lang w:val="en-US"/>
        </w:rPr>
        <w:t>EU:C:2012:516.</w:t>
      </w:r>
    </w:p>
  </w:footnote>
  <w:footnote w:id="45">
    <w:p w14:paraId="3CF1B7AE" w14:textId="2E0F506C" w:rsidR="005E3788" w:rsidRDefault="00B74D0E">
      <w:pPr>
        <w:pStyle w:val="Voetnoottekst"/>
        <w:rPr>
          <w:rFonts w:cs="Times New Roman"/>
          <w:lang w:val="en-US"/>
        </w:rPr>
      </w:pPr>
      <w:r>
        <w:rPr>
          <w:rStyle w:val="Voetnootmarkering"/>
          <w:rFonts w:cs="Times New Roman"/>
        </w:rPr>
        <w:footnoteRef/>
      </w:r>
      <w:r>
        <w:rPr>
          <w:rFonts w:cs="Times New Roman"/>
          <w:lang w:val="en-US"/>
        </w:rPr>
        <w:t xml:space="preserve"> See Commission Regulation (EU) 2016/293 </w:t>
      </w:r>
      <w:r>
        <w:rPr>
          <w:rFonts w:cs="Times New Roman"/>
          <w:lang w:val="en-US"/>
        </w:rPr>
        <w:t xml:space="preserve">on </w:t>
      </w:r>
      <w:r>
        <w:rPr>
          <w:rFonts w:cs="Times New Roman"/>
          <w:lang w:val="en-US"/>
        </w:rPr>
        <w:t>persistent organic pollutants</w:t>
      </w:r>
      <w:r>
        <w:rPr>
          <w:rFonts w:cs="Times New Roman"/>
          <w:lang w:val="en-US"/>
        </w:rPr>
        <w:t>, O</w:t>
      </w:r>
      <w:r>
        <w:rPr>
          <w:rFonts w:cs="Times New Roman"/>
          <w:lang w:val="en-US"/>
        </w:rPr>
        <w:t>J</w:t>
      </w:r>
      <w:r>
        <w:rPr>
          <w:rFonts w:cs="Times New Roman"/>
          <w:lang w:val="en-US"/>
        </w:rPr>
        <w:t xml:space="preserve"> L 55/4; Commission Regulation (EU) 715/2013 </w:t>
      </w:r>
      <w:r>
        <w:rPr>
          <w:rFonts w:cs="Times New Roman"/>
          <w:lang w:val="en-US"/>
        </w:rPr>
        <w:t xml:space="preserve">on </w:t>
      </w:r>
      <w:r>
        <w:rPr>
          <w:rFonts w:cs="Times New Roman"/>
          <w:lang w:val="en-US"/>
        </w:rPr>
        <w:t>copper scrap ceases to be waste</w:t>
      </w:r>
      <w:r>
        <w:rPr>
          <w:rFonts w:cs="Times New Roman"/>
          <w:lang w:val="en-US"/>
        </w:rPr>
        <w:t xml:space="preserve">, </w:t>
      </w:r>
      <w:r>
        <w:rPr>
          <w:rFonts w:cs="Times New Roman"/>
          <w:lang w:val="en-US"/>
        </w:rPr>
        <w:t xml:space="preserve">[2013] </w:t>
      </w:r>
      <w:r>
        <w:rPr>
          <w:rFonts w:cs="Times New Roman"/>
          <w:lang w:val="en-US"/>
        </w:rPr>
        <w:t>O</w:t>
      </w:r>
      <w:r>
        <w:rPr>
          <w:rFonts w:cs="Times New Roman"/>
          <w:lang w:val="en-US"/>
        </w:rPr>
        <w:t>J</w:t>
      </w:r>
      <w:r>
        <w:rPr>
          <w:rFonts w:cs="Times New Roman"/>
          <w:lang w:val="en-US"/>
        </w:rPr>
        <w:t xml:space="preserve"> L 201/14; Commission Directive (EU) 2013/44 </w:t>
      </w:r>
      <w:r>
        <w:rPr>
          <w:rFonts w:cs="Times New Roman"/>
          <w:lang w:val="en-US"/>
        </w:rPr>
        <w:t xml:space="preserve">on </w:t>
      </w:r>
      <w:r>
        <w:rPr>
          <w:rFonts w:cs="Times New Roman"/>
          <w:lang w:val="en-US"/>
        </w:rPr>
        <w:t>powdered corn cob</w:t>
      </w:r>
      <w:r>
        <w:rPr>
          <w:rFonts w:cs="Times New Roman"/>
          <w:lang w:val="en-US"/>
        </w:rPr>
        <w:t xml:space="preserve">, </w:t>
      </w:r>
      <w:r>
        <w:rPr>
          <w:rFonts w:cs="Times New Roman"/>
          <w:lang w:val="en-US"/>
        </w:rPr>
        <w:t xml:space="preserve">[2013] </w:t>
      </w:r>
      <w:r>
        <w:rPr>
          <w:rFonts w:cs="Times New Roman"/>
          <w:lang w:val="en-US"/>
        </w:rPr>
        <w:t>O</w:t>
      </w:r>
      <w:r>
        <w:rPr>
          <w:rFonts w:cs="Times New Roman"/>
          <w:lang w:val="en-US"/>
        </w:rPr>
        <w:t>J</w:t>
      </w:r>
      <w:r>
        <w:rPr>
          <w:rFonts w:cs="Times New Roman"/>
          <w:lang w:val="en-US"/>
        </w:rPr>
        <w:t xml:space="preserve"> L 204/49; Commission Directive (EU) 2013/2 </w:t>
      </w:r>
      <w:r>
        <w:rPr>
          <w:rFonts w:cs="Times New Roman"/>
          <w:lang w:val="en-US"/>
        </w:rPr>
        <w:t xml:space="preserve">on </w:t>
      </w:r>
      <w:r>
        <w:rPr>
          <w:rFonts w:cs="Times New Roman"/>
          <w:lang w:val="en-US"/>
        </w:rPr>
        <w:t>packaging and packaging waste</w:t>
      </w:r>
      <w:r>
        <w:rPr>
          <w:rFonts w:cs="Times New Roman"/>
          <w:lang w:val="en-US"/>
        </w:rPr>
        <w:t xml:space="preserve">, </w:t>
      </w:r>
      <w:r>
        <w:rPr>
          <w:rFonts w:cs="Times New Roman"/>
          <w:lang w:val="en-US"/>
        </w:rPr>
        <w:t xml:space="preserve">[2013] </w:t>
      </w:r>
      <w:r>
        <w:rPr>
          <w:rFonts w:cs="Times New Roman"/>
          <w:lang w:val="en-US"/>
        </w:rPr>
        <w:t>O</w:t>
      </w:r>
      <w:r>
        <w:rPr>
          <w:rFonts w:cs="Times New Roman"/>
          <w:lang w:val="en-US"/>
        </w:rPr>
        <w:t>J</w:t>
      </w:r>
      <w:r>
        <w:rPr>
          <w:rFonts w:cs="Times New Roman"/>
          <w:lang w:val="en-US"/>
        </w:rPr>
        <w:t xml:space="preserve"> L 37/10; Commission Directive (EU) 2012/20 </w:t>
      </w:r>
      <w:r>
        <w:rPr>
          <w:rFonts w:cs="Times New Roman"/>
          <w:lang w:val="en-US"/>
        </w:rPr>
        <w:t xml:space="preserve">on </w:t>
      </w:r>
      <w:r>
        <w:rPr>
          <w:rFonts w:cs="Times New Roman"/>
          <w:lang w:val="en-US"/>
        </w:rPr>
        <w:t>flufenoxuron</w:t>
      </w:r>
      <w:r>
        <w:rPr>
          <w:rFonts w:cs="Times New Roman"/>
          <w:lang w:val="en-US"/>
        </w:rPr>
        <w:t xml:space="preserve">, </w:t>
      </w:r>
      <w:r>
        <w:rPr>
          <w:rFonts w:cs="Times New Roman"/>
          <w:lang w:val="en-US"/>
        </w:rPr>
        <w:t xml:space="preserve">[2012] </w:t>
      </w:r>
      <w:r>
        <w:rPr>
          <w:rFonts w:cs="Times New Roman"/>
          <w:lang w:val="en-US"/>
        </w:rPr>
        <w:t>O</w:t>
      </w:r>
      <w:r>
        <w:rPr>
          <w:rFonts w:cs="Times New Roman"/>
          <w:lang w:val="en-US"/>
        </w:rPr>
        <w:t>J</w:t>
      </w:r>
      <w:r>
        <w:rPr>
          <w:rFonts w:cs="Times New Roman"/>
          <w:lang w:val="en-US"/>
        </w:rPr>
        <w:t xml:space="preserve"> L 177/25; Commission Directive (EU) 2011/71 </w:t>
      </w:r>
      <w:r>
        <w:rPr>
          <w:rFonts w:cs="Times New Roman"/>
          <w:lang w:val="en-US"/>
        </w:rPr>
        <w:t xml:space="preserve">on </w:t>
      </w:r>
      <w:r>
        <w:rPr>
          <w:rFonts w:cs="Times New Roman"/>
          <w:lang w:val="en-US"/>
        </w:rPr>
        <w:t>creosote</w:t>
      </w:r>
      <w:r>
        <w:rPr>
          <w:rFonts w:cs="Times New Roman"/>
          <w:lang w:val="en-US"/>
        </w:rPr>
        <w:t>,</w:t>
      </w:r>
      <w:r>
        <w:rPr>
          <w:rFonts w:cs="Times New Roman"/>
          <w:lang w:val="en-US"/>
        </w:rPr>
        <w:t xml:space="preserve"> [2011]</w:t>
      </w:r>
      <w:r>
        <w:rPr>
          <w:rFonts w:cs="Times New Roman"/>
          <w:lang w:val="en-US"/>
        </w:rPr>
        <w:t xml:space="preserve"> O</w:t>
      </w:r>
      <w:r>
        <w:rPr>
          <w:rFonts w:cs="Times New Roman"/>
          <w:lang w:val="en-US"/>
        </w:rPr>
        <w:t>J</w:t>
      </w:r>
      <w:r>
        <w:rPr>
          <w:rFonts w:cs="Times New Roman"/>
          <w:lang w:val="en-US"/>
        </w:rPr>
        <w:t xml:space="preserve"> L 195/46.</w:t>
      </w:r>
    </w:p>
  </w:footnote>
  <w:footnote w:id="46">
    <w:p w14:paraId="20205911" w14:textId="6933602A" w:rsidR="005E3788" w:rsidRDefault="00B74D0E">
      <w:pPr>
        <w:pStyle w:val="Voetnoottekst"/>
        <w:rPr>
          <w:rFonts w:cs="Times New Roman"/>
          <w:lang w:val="en-GB"/>
        </w:rPr>
      </w:pPr>
      <w:r>
        <w:rPr>
          <w:rStyle w:val="Voetnootmarkering"/>
          <w:rFonts w:cs="Times New Roman"/>
        </w:rPr>
        <w:footnoteRef/>
      </w:r>
      <w:r>
        <w:rPr>
          <w:rFonts w:cs="Times New Roman"/>
          <w:lang w:val="en-GB"/>
        </w:rPr>
        <w:t xml:space="preserve"> See Commission Regulation (EU) 101/2013, </w:t>
      </w:r>
      <w:r>
        <w:rPr>
          <w:rFonts w:cs="Times New Roman"/>
          <w:lang w:val="en-GB"/>
        </w:rPr>
        <w:t xml:space="preserve">[2013] </w:t>
      </w:r>
      <w:r>
        <w:rPr>
          <w:rFonts w:cs="Times New Roman"/>
          <w:lang w:val="en-GB"/>
        </w:rPr>
        <w:t>O</w:t>
      </w:r>
      <w:r>
        <w:rPr>
          <w:rFonts w:cs="Times New Roman"/>
          <w:lang w:val="en-GB"/>
        </w:rPr>
        <w:t>J</w:t>
      </w:r>
      <w:r>
        <w:rPr>
          <w:rFonts w:cs="Times New Roman"/>
          <w:lang w:val="en-GB"/>
        </w:rPr>
        <w:t xml:space="preserve"> L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A053" w14:textId="77777777" w:rsidR="005E3788" w:rsidRDefault="005E378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A24F" w14:textId="77777777" w:rsidR="005E3788" w:rsidRDefault="005E378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B80B" w14:textId="77777777" w:rsidR="005E3788" w:rsidRDefault="005E37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1677F"/>
    <w:multiLevelType w:val="hybridMultilevel"/>
    <w:tmpl w:val="1F4C0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1&lt;/Suspended&gt;&lt;/ENInstantFormat&gt;"/>
  </w:docVars>
  <w:rsids>
    <w:rsidRoot w:val="005E3788"/>
    <w:rsid w:val="00297C74"/>
    <w:rsid w:val="00547C25"/>
    <w:rsid w:val="005E3788"/>
    <w:rsid w:val="00B74D0E"/>
    <w:rsid w:val="00C86E7A"/>
    <w:rsid w:val="00F703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28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jc w:val="both"/>
    </w:pPr>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sz w:val="20"/>
      <w:szCs w:val="20"/>
    </w:rPr>
  </w:style>
  <w:style w:type="character" w:styleId="Voetnootmarkering">
    <w:name w:val="footnote reference"/>
    <w:basedOn w:val="Standaardalinea-lettertype"/>
    <w:uiPriority w:val="99"/>
    <w:semiHidden/>
    <w:unhideWhenUsed/>
    <w:rPr>
      <w:vertAlign w:val="superscript"/>
    </w:rPr>
  </w:style>
  <w:style w:type="paragraph" w:customStyle="1" w:styleId="EndNoteBibliographyTitle">
    <w:name w:val="EndNote Bibliography Title"/>
    <w:basedOn w:val="Standaard"/>
    <w:link w:val="EndNoteBibliographyTitleChar"/>
    <w:pPr>
      <w:spacing w:after="0"/>
      <w:jc w:val="center"/>
    </w:pPr>
    <w:rPr>
      <w:rFonts w:cs="Times New Roman"/>
      <w:noProof/>
      <w:sz w:val="20"/>
      <w:szCs w:val="20"/>
      <w:lang w:val="en-US"/>
    </w:rPr>
  </w:style>
  <w:style w:type="character" w:customStyle="1" w:styleId="EndNoteBibliographyTitleChar">
    <w:name w:val="EndNote Bibliography Title Char"/>
    <w:basedOn w:val="VoetnoottekstChar"/>
    <w:link w:val="EndNoteBibliographyTitle"/>
    <w:rPr>
      <w:rFonts w:ascii="Times New Roman" w:hAnsi="Times New Roman" w:cs="Times New Roman"/>
      <w:noProof/>
      <w:sz w:val="20"/>
      <w:szCs w:val="20"/>
      <w:lang w:val="en-US"/>
    </w:rPr>
  </w:style>
  <w:style w:type="paragraph" w:customStyle="1" w:styleId="EndNoteBibliography">
    <w:name w:val="EndNote Bibliography"/>
    <w:basedOn w:val="Standaard"/>
    <w:link w:val="EndNoteBibliographyChar"/>
    <w:pPr>
      <w:spacing w:line="240" w:lineRule="auto"/>
    </w:pPr>
    <w:rPr>
      <w:rFonts w:cs="Times New Roman"/>
      <w:noProof/>
      <w:sz w:val="20"/>
      <w:szCs w:val="20"/>
      <w:lang w:val="en-US"/>
    </w:rPr>
  </w:style>
  <w:style w:type="character" w:customStyle="1" w:styleId="EndNoteBibliographyChar">
    <w:name w:val="EndNote Bibliography Char"/>
    <w:basedOn w:val="VoetnoottekstChar"/>
    <w:link w:val="EndNoteBibliography"/>
    <w:rPr>
      <w:rFonts w:ascii="Times New Roman" w:hAnsi="Times New Roman" w:cs="Times New Roman"/>
      <w:noProof/>
      <w:sz w:val="20"/>
      <w:szCs w:val="20"/>
      <w:lang w:val="en-US"/>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Pr>
      <w:rFonts w:ascii="Times New Roman" w:hAnsi="Times New Roman"/>
    </w:rPr>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Pr>
      <w:rFonts w:ascii="Times New Roman" w:hAnsi="Times New Roman"/>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CD90-7E9F-49AC-A4AC-C52DC5B7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3082</Words>
  <Characters>16956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2016-08-10T12:33:00Z</dcterms:created>
  <dcterms:modified xsi:type="dcterms:W3CDTF">2016-08-10T12:33:00Z</dcterms:modified>
</cp:coreProperties>
</file>